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0"/>
          <w:bCs w:val="0"/>
          <w:sz w:val="10"/>
          <w:szCs w:val="10"/>
        </w:rPr>
      </w:pPr>
      <w:bookmarkStart w:colFirst="0" w:colLast="0" w:name="_gki4cnrknuh1" w:id="0"/>
      <w:bookmarkEnd w:id="0"/>
      <w:r w:rsidDel="00000000" w:rsidR="00000000" w:rsidRPr="00000000">
        <w:rPr>
          <w:rtl w:val="0"/>
        </w:rPr>
        <w:t xml:space="preserve">STAR Lab AI Transformation Plan</w:t>
        <w:br w:type="textWrapping"/>
      </w:r>
      <w:r w:rsidDel="00000000" w:rsidR="00000000" w:rsidRPr="00000000">
        <w:rPr>
          <w:b w:val="0"/>
          <w:bCs w:val="0"/>
          <w:sz w:val="20"/>
          <w:szCs w:val="20"/>
          <w:rtl w:val="0"/>
        </w:rPr>
        <w:t xml:space="preserve">UCR Libraries </w:t>
      </w:r>
      <w:r w:rsidDel="00000000" w:rsidR="00000000" w:rsidRPr="00000000">
        <w:rPr>
          <w:b w:val="0"/>
          <w:bCs w:val="0"/>
          <w:i w:val="1"/>
          <w:iCs w:val="1"/>
          <w:sz w:val="20"/>
          <w:szCs w:val="20"/>
          <w:rtl w:val="0"/>
        </w:rPr>
        <w:t xml:space="preserve">Division of Research and Technology Services</w:t>
      </w:r>
      <w:r w:rsidDel="00000000" w:rsidR="00000000" w:rsidRPr="00000000">
        <w:rPr>
          <w:b w:val="0"/>
          <w:bCs w:val="0"/>
          <w:sz w:val="20"/>
          <w:szCs w:val="20"/>
          <w:rtl w:val="0"/>
        </w:rPr>
        <w:t xml:space="preserve"> </w:t>
        <w:br w:type="textWrapping"/>
      </w:r>
      <w:r w:rsidDel="00000000" w:rsidR="00000000" w:rsidRPr="00000000">
        <w:rPr>
          <w:b w:val="0"/>
          <w:bCs w:val="0"/>
          <w:i w:val="1"/>
          <w:iCs w:val="1"/>
          <w:sz w:val="20"/>
          <w:szCs w:val="20"/>
          <w:rtl w:val="0"/>
        </w:rPr>
        <w:t xml:space="preserve">May 2026 · v2 Draft</w:t>
      </w:r>
      <w:r w:rsidDel="00000000" w:rsidR="00000000" w:rsidRPr="00000000">
        <w:rPr>
          <w:b w:val="0"/>
          <w:bCs w:val="0"/>
          <w:sz w:val="20"/>
          <w:szCs w:val="20"/>
          <w:rtl w:val="0"/>
        </w:rPr>
        <w:t xml:space="preserve"> </w:t>
        <w:br w:type="textWrapping"/>
      </w:r>
      <w:r w:rsidDel="00000000" w:rsidR="00000000" w:rsidRPr="00000000">
        <w:rPr>
          <w:rtl w:val="0"/>
        </w:rPr>
      </w:r>
    </w:p>
    <w:p w:rsidR="00000000" w:rsidDel="00000000" w:rsidP="00000000" w:rsidRDefault="00000000" w:rsidRPr="00000000" w14:paraId="00000002">
      <w:pPr>
        <w:pStyle w:val="Subtitle"/>
        <w:rPr>
          <w:sz w:val="26"/>
          <w:szCs w:val="26"/>
        </w:rPr>
      </w:pPr>
      <w:bookmarkStart w:colFirst="0" w:colLast="0" w:name="_dkt3bd8jf98r" w:id="1"/>
      <w:bookmarkEnd w:id="1"/>
      <w:r w:rsidDel="00000000" w:rsidR="00000000" w:rsidRPr="00000000">
        <w:rPr>
          <w:rtl w:val="0"/>
        </w:rPr>
        <w:br w:type="textWrapping"/>
      </w:r>
      <w:r w:rsidDel="00000000" w:rsidR="00000000" w:rsidRPr="00000000">
        <w:rPr>
          <w:rtl w:val="0"/>
        </w:rPr>
        <w:t xml:space="preserve">Project Overview</w:t>
      </w:r>
      <w:r w:rsidDel="00000000" w:rsidR="00000000" w:rsidRPr="00000000">
        <w:rPr>
          <w:rtl w:val="0"/>
        </w:rPr>
      </w:r>
    </w:p>
    <w:p w:rsidR="00000000" w:rsidDel="00000000" w:rsidP="00000000" w:rsidRDefault="00000000" w:rsidRPr="00000000" w14:paraId="00000003">
      <w:pPr>
        <w:spacing w:after="200" w:lineRule="auto"/>
        <w:ind w:left="0" w:firstLine="0"/>
        <w:rPr/>
      </w:pPr>
      <w:r w:rsidDel="00000000" w:rsidR="00000000" w:rsidRPr="00000000">
        <w:rPr>
          <w:rtl w:val="0"/>
        </w:rPr>
        <w:t xml:space="preserve">The Library is transforming our STAR Lab into an open-source AI integration lab providing no-cost, local access to </w:t>
      </w:r>
      <w:r w:rsidDel="00000000" w:rsidR="00000000" w:rsidRPr="00000000">
        <w:rPr>
          <w:rtl w:val="0"/>
        </w:rPr>
        <w:t xml:space="preserve">open-source</w:t>
      </w:r>
      <w:r w:rsidDel="00000000" w:rsidR="00000000" w:rsidRPr="00000000">
        <w:rPr>
          <w:rtl w:val="0"/>
        </w:rPr>
        <w:t xml:space="preserve">/open-weight </w:t>
      </w:r>
      <w:r w:rsidDel="00000000" w:rsidR="00000000" w:rsidRPr="00000000">
        <w:rPr>
          <w:rtl w:val="0"/>
        </w:rPr>
        <w:t xml:space="preserve">Large Language M</w:t>
      </w:r>
      <w:r w:rsidDel="00000000" w:rsidR="00000000" w:rsidRPr="00000000">
        <w:rPr>
          <w:rtl w:val="0"/>
        </w:rPr>
        <w:t xml:space="preserve">odels (LLMs), disciplinary AI applications, and model fine-tuning for our campus community across all disciplines and career stages. The open-source foundation eliminates recurring subscription or GPU costs while expanding the range of available AI models. The new lab will support disciplinary and interdisciplinary applications, fine-tuning flexibility, and hands-on AI experimentation and workshops. This initiative serves the broad research community currently underserved by both general campus productivity tools and cloistered, grant-funded machine-learning projects bringing open-source AI capability to the wider faculty, graduate students, and undergraduates who form the core of UCR's research enterprise. </w:t>
      </w:r>
    </w:p>
    <w:p w:rsidR="00000000" w:rsidDel="00000000" w:rsidP="00000000" w:rsidRDefault="00000000" w:rsidRPr="00000000" w14:paraId="00000004">
      <w:pPr>
        <w:pStyle w:val="Subtitle"/>
        <w:spacing w:after="0" w:lineRule="auto"/>
        <w:rPr/>
      </w:pPr>
      <w:bookmarkStart w:colFirst="0" w:colLast="0" w:name="_ugxyjbfs8bia" w:id="2"/>
      <w:bookmarkEnd w:id="2"/>
      <w:r w:rsidDel="00000000" w:rsidR="00000000" w:rsidRPr="00000000">
        <w:rPr>
          <w:rtl w:val="0"/>
        </w:rPr>
        <w:t xml:space="preserve">Timeline and Assessment</w:t>
      </w:r>
    </w:p>
    <w:p w:rsidR="00000000" w:rsidDel="00000000" w:rsidP="00000000" w:rsidRDefault="00000000" w:rsidRPr="00000000" w14:paraId="00000005">
      <w:pPr>
        <w:spacing w:after="200" w:lineRule="auto"/>
        <w:rPr/>
      </w:pPr>
      <w:r w:rsidDel="00000000" w:rsidR="00000000" w:rsidRPr="00000000">
        <w:rPr>
          <w:rtl w:val="0"/>
        </w:rPr>
        <w:t xml:space="preserve">A soft launch is planned for Fall 2026, introducing new AI software and expanded workshops. Phased acquisition of AI-class workstations will follow based on demand. Pilot testing will engage graduate students identified through UCR schools and departments. Assessment will track use, disciplinary range, and applied project outcomes through a 2027 programmatic review.</w:t>
      </w:r>
    </w:p>
    <w:p w:rsidR="00000000" w:rsidDel="00000000" w:rsidP="00000000" w:rsidRDefault="00000000" w:rsidRPr="00000000" w14:paraId="00000006">
      <w:pPr>
        <w:pStyle w:val="Subtitle"/>
        <w:rPr/>
      </w:pPr>
      <w:bookmarkStart w:colFirst="0" w:colLast="0" w:name="_3i3xiiqkrem4" w:id="3"/>
      <w:bookmarkEnd w:id="3"/>
      <w:r w:rsidDel="00000000" w:rsidR="00000000" w:rsidRPr="00000000">
        <w:rPr>
          <w:rtl w:val="0"/>
        </w:rPr>
        <w:t xml:space="preserve">Initial AI Software Additions</w:t>
      </w:r>
    </w:p>
    <w:p w:rsidR="00000000" w:rsidDel="00000000" w:rsidP="00000000" w:rsidRDefault="00000000" w:rsidRPr="00000000" w14:paraId="00000007">
      <w:pPr>
        <w:rPr/>
      </w:pPr>
      <w:r w:rsidDel="00000000" w:rsidR="00000000" w:rsidRPr="00000000">
        <w:rPr>
          <w:rtl w:val="0"/>
        </w:rPr>
        <w:t xml:space="preserve">The following software will be integrated across two existing STAR Lab units to support AI workflows across diverse disciplines: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ef9xqkx95dos" w:id="4"/>
      <w:bookmarkEnd w:id="4"/>
      <w:r w:rsidDel="00000000" w:rsidR="00000000" w:rsidRPr="00000000">
        <w:rPr>
          <w:rtl w:val="0"/>
        </w:rPr>
        <w:t xml:space="preserve">Applied AI Research Tools</w:t>
      </w:r>
    </w:p>
    <w:p w:rsidR="00000000" w:rsidDel="00000000" w:rsidP="00000000" w:rsidRDefault="00000000" w:rsidRPr="00000000" w14:paraId="0000000A">
      <w:pPr>
        <w:rPr/>
      </w:pPr>
      <w:r w:rsidDel="00000000" w:rsidR="00000000" w:rsidRPr="00000000">
        <w:rPr>
          <w:rtl w:val="0"/>
        </w:rPr>
        <w:t xml:space="preserve">These tools provide an interface for researchers to interact with AI through user-friendly applications.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8"/>
        </w:numPr>
        <w:ind w:left="720" w:hanging="360"/>
        <w:rPr>
          <w:u w:val="none"/>
        </w:rPr>
      </w:pPr>
      <w:r w:rsidDel="00000000" w:rsidR="00000000" w:rsidRPr="00000000">
        <w:rPr>
          <w:i w:val="1"/>
          <w:iCs w:val="1"/>
          <w:rtl w:val="0"/>
        </w:rPr>
        <w:t xml:space="preserve">Open WebUI &amp; Ollama</w:t>
      </w:r>
      <w:r w:rsidDel="00000000" w:rsidR="00000000" w:rsidRPr="00000000">
        <w:rPr>
          <w:rtl w:val="0"/>
        </w:rPr>
        <w:t xml:space="preserve">: A local interface that allows researchers to chat with their documents for analysis and synthesis.</w:t>
      </w:r>
    </w:p>
    <w:p w:rsidR="00000000" w:rsidDel="00000000" w:rsidP="00000000" w:rsidRDefault="00000000" w:rsidRPr="00000000" w14:paraId="0000000D">
      <w:pPr>
        <w:numPr>
          <w:ilvl w:val="0"/>
          <w:numId w:val="8"/>
        </w:numPr>
        <w:ind w:left="720" w:hanging="360"/>
        <w:rPr>
          <w:u w:val="none"/>
        </w:rPr>
      </w:pPr>
      <w:r w:rsidDel="00000000" w:rsidR="00000000" w:rsidRPr="00000000">
        <w:rPr>
          <w:i w:val="1"/>
          <w:iCs w:val="1"/>
          <w:rtl w:val="0"/>
        </w:rPr>
        <w:t xml:space="preserve">aTrain &amp; Vibe Transcribe</w:t>
      </w:r>
      <w:r w:rsidDel="00000000" w:rsidR="00000000" w:rsidRPr="00000000">
        <w:rPr>
          <w:rtl w:val="0"/>
        </w:rPr>
        <w:t xml:space="preserve">: Transcription tools that utilize AI to convert qualitative audio data, such as interviews or lectures, into structured text.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3krimypt7ecl" w:id="5"/>
      <w:bookmarkEnd w:id="5"/>
      <w:r w:rsidDel="00000000" w:rsidR="00000000" w:rsidRPr="00000000">
        <w:rPr>
          <w:rtl w:val="0"/>
        </w:rPr>
        <w:t xml:space="preserve">Development &amp; Environment Tools</w:t>
      </w:r>
    </w:p>
    <w:p w:rsidR="00000000" w:rsidDel="00000000" w:rsidP="00000000" w:rsidRDefault="00000000" w:rsidRPr="00000000" w14:paraId="00000010">
      <w:pPr>
        <w:rPr/>
      </w:pPr>
      <w:r w:rsidDel="00000000" w:rsidR="00000000" w:rsidRPr="00000000">
        <w:rPr>
          <w:rtl w:val="0"/>
        </w:rPr>
        <w:t xml:space="preserve">These resources provide a workspace for users to build, code, and manage custom AI workflows.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4"/>
        </w:numPr>
        <w:ind w:left="720" w:hanging="360"/>
        <w:rPr>
          <w:u w:val="none"/>
        </w:rPr>
      </w:pPr>
      <w:r w:rsidDel="00000000" w:rsidR="00000000" w:rsidRPr="00000000">
        <w:rPr>
          <w:i w:val="1"/>
          <w:iCs w:val="1"/>
          <w:rtl w:val="0"/>
        </w:rPr>
        <w:t xml:space="preserve">Anaconda &amp; VS Code</w:t>
      </w:r>
      <w:r w:rsidDel="00000000" w:rsidR="00000000" w:rsidRPr="00000000">
        <w:rPr>
          <w:rtl w:val="0"/>
        </w:rPr>
        <w:t xml:space="preserve">: Coding environments for technical users to write custom scripts and manage relevant software libraries.</w:t>
      </w:r>
    </w:p>
    <w:p w:rsidR="00000000" w:rsidDel="00000000" w:rsidP="00000000" w:rsidRDefault="00000000" w:rsidRPr="00000000" w14:paraId="00000013">
      <w:pPr>
        <w:numPr>
          <w:ilvl w:val="0"/>
          <w:numId w:val="4"/>
        </w:numPr>
        <w:ind w:left="720" w:hanging="360"/>
        <w:rPr>
          <w:u w:val="none"/>
        </w:rPr>
      </w:pPr>
      <w:r w:rsidDel="00000000" w:rsidR="00000000" w:rsidRPr="00000000">
        <w:rPr>
          <w:i w:val="1"/>
          <w:iCs w:val="1"/>
          <w:rtl w:val="0"/>
        </w:rPr>
        <w:t xml:space="preserve">Docker &amp; Git/GitHub</w:t>
      </w:r>
      <w:r w:rsidDel="00000000" w:rsidR="00000000" w:rsidRPr="00000000">
        <w:rPr>
          <w:rtl w:val="0"/>
        </w:rPr>
        <w:t xml:space="preserve">: Reproducibility and version control tools for developers to package their environments and track code changes, ensuring research shareability and replicability.</w:t>
      </w:r>
    </w:p>
    <w:p w:rsidR="00000000" w:rsidDel="00000000" w:rsidP="00000000" w:rsidRDefault="00000000" w:rsidRPr="00000000" w14:paraId="00000014">
      <w:pPr>
        <w:numPr>
          <w:ilvl w:val="0"/>
          <w:numId w:val="4"/>
        </w:numPr>
        <w:ind w:left="720" w:hanging="360"/>
        <w:rPr>
          <w:u w:val="none"/>
        </w:rPr>
      </w:pPr>
      <w:r w:rsidDel="00000000" w:rsidR="00000000" w:rsidRPr="00000000">
        <w:rPr>
          <w:i w:val="1"/>
          <w:iCs w:val="1"/>
          <w:rtl w:val="0"/>
        </w:rPr>
        <w:t xml:space="preserve">PyTorch &amp; TensorFlow</w:t>
      </w:r>
      <w:r w:rsidDel="00000000" w:rsidR="00000000" w:rsidRPr="00000000">
        <w:rPr>
          <w:b w:val="1"/>
          <w:bCs w:val="1"/>
          <w:rtl w:val="0"/>
        </w:rPr>
        <w:t xml:space="preserve">:</w:t>
      </w:r>
      <w:r w:rsidDel="00000000" w:rsidR="00000000" w:rsidRPr="00000000">
        <w:rPr>
          <w:rtl w:val="0"/>
        </w:rPr>
        <w:t xml:space="preserve"> Foundational open-source frameworks for building, training, and fine-tuning AI models. PyTorch is the dominant framework in AI research; TensorFlow remains widely used in production environments and specific research domains. </w:t>
      </w:r>
    </w:p>
    <w:p w:rsidR="00000000" w:rsidDel="00000000" w:rsidP="00000000" w:rsidRDefault="00000000" w:rsidRPr="00000000" w14:paraId="00000015">
      <w:pPr>
        <w:pStyle w:val="Heading1"/>
        <w:spacing w:after="0" w:before="240" w:lineRule="auto"/>
        <w:rPr>
          <w:i w:val="1"/>
          <w:iCs w:val="1"/>
        </w:rPr>
      </w:pPr>
      <w:bookmarkStart w:colFirst="0" w:colLast="0" w:name="_d2qisj5l3e0y" w:id="6"/>
      <w:bookmarkEnd w:id="6"/>
      <w:r w:rsidDel="00000000" w:rsidR="00000000" w:rsidRPr="00000000">
        <w:rPr>
          <w:i w:val="1"/>
          <w:iCs w:val="1"/>
          <w:rtl w:val="0"/>
        </w:rPr>
        <w:t xml:space="preserve">Workshops and AI Literacy Programming</w:t>
      </w:r>
    </w:p>
    <w:p w:rsidR="00000000" w:rsidDel="00000000" w:rsidP="00000000" w:rsidRDefault="00000000" w:rsidRPr="00000000" w14:paraId="00000016">
      <w:pPr>
        <w:spacing w:after="240" w:before="0" w:lineRule="auto"/>
        <w:rPr/>
      </w:pPr>
      <w:r w:rsidDel="00000000" w:rsidR="00000000" w:rsidRPr="00000000">
        <w:rPr>
          <w:rtl w:val="0"/>
        </w:rPr>
        <w:t xml:space="preserve">The Library's AI literacy workshops are already established across the university. The new AI lab expands this programming across disciplines, supporting deeper, AI research project-based engagement for non-machine-learning faculty and students seeking hands-on experience with open-source AI and disciplinary applications.</w:t>
      </w:r>
    </w:p>
    <w:p w:rsidR="00000000" w:rsidDel="00000000" w:rsidP="00000000" w:rsidRDefault="00000000" w:rsidRPr="00000000" w14:paraId="00000017">
      <w:pPr>
        <w:pStyle w:val="Heading1"/>
        <w:spacing w:after="0" w:before="240" w:lineRule="auto"/>
        <w:rPr/>
      </w:pPr>
      <w:bookmarkStart w:colFirst="0" w:colLast="0" w:name="_9f1jr9oryyqe" w:id="7"/>
      <w:bookmarkEnd w:id="7"/>
      <w:r w:rsidDel="00000000" w:rsidR="00000000" w:rsidRPr="00000000">
        <w:rPr>
          <w:rtl w:val="0"/>
        </w:rPr>
        <w:t xml:space="preserve">Access Model</w:t>
      </w:r>
    </w:p>
    <w:p w:rsidR="00000000" w:rsidDel="00000000" w:rsidP="00000000" w:rsidRDefault="00000000" w:rsidRPr="00000000" w14:paraId="00000018">
      <w:pPr>
        <w:spacing w:after="200" w:before="0" w:lineRule="auto"/>
        <w:rPr>
          <w:b w:val="1"/>
          <w:bCs w:val="1"/>
        </w:rPr>
      </w:pPr>
      <w:r w:rsidDel="00000000" w:rsidR="00000000" w:rsidRPr="00000000">
        <w:rPr>
          <w:rtl w:val="0"/>
        </w:rPr>
        <w:t xml:space="preserve">The lab is being designed as an environment open to the entire university research community, supporting in-person use for library AI literacy workshops, one-on-one consultations and AI research computing needs. Remote access protocols are currently under technical investigation to enable consultation-based remote access for researchers working from their offices and labs.</w:t>
      </w:r>
      <w:r w:rsidDel="00000000" w:rsidR="00000000" w:rsidRPr="00000000">
        <w:rPr>
          <w:rtl w:val="0"/>
        </w:rPr>
      </w:r>
    </w:p>
    <w:p w:rsidR="00000000" w:rsidDel="00000000" w:rsidP="00000000" w:rsidRDefault="00000000" w:rsidRPr="00000000" w14:paraId="00000019">
      <w:pPr>
        <w:pStyle w:val="Heading1"/>
        <w:spacing w:after="0" w:lineRule="auto"/>
        <w:rPr/>
      </w:pPr>
      <w:bookmarkStart w:colFirst="0" w:colLast="0" w:name="_2zpj80q92wtt" w:id="8"/>
      <w:bookmarkEnd w:id="8"/>
      <w:r w:rsidDel="00000000" w:rsidR="00000000" w:rsidRPr="00000000">
        <w:rPr>
          <w:rtl w:val="0"/>
        </w:rPr>
        <w:t xml:space="preserve">Data Privacy and Local Execution</w:t>
      </w:r>
    </w:p>
    <w:p w:rsidR="00000000" w:rsidDel="00000000" w:rsidP="00000000" w:rsidRDefault="00000000" w:rsidRPr="00000000" w14:paraId="0000001A">
      <w:pPr>
        <w:spacing w:after="200" w:before="0" w:lineRule="auto"/>
        <w:rPr/>
      </w:pPr>
      <w:r w:rsidDel="00000000" w:rsidR="00000000" w:rsidRPr="00000000">
        <w:rPr>
          <w:rtl w:val="0"/>
        </w:rPr>
        <w:t xml:space="preserve">Models run locally on UCR infrastructure keep general research data on campus. The lab will not be authorized for HIPAA, FERPA, or other restricted-category data. Session-clearing protections will be applied between users, with Library Cyberinfrastructure providing ongoing security review.</w:t>
      </w:r>
    </w:p>
    <w:p w:rsidR="00000000" w:rsidDel="00000000" w:rsidP="00000000" w:rsidRDefault="00000000" w:rsidRPr="00000000" w14:paraId="0000001B">
      <w:pPr>
        <w:pStyle w:val="Heading1"/>
        <w:spacing w:after="0" w:before="240" w:lineRule="auto"/>
        <w:rPr/>
      </w:pPr>
      <w:bookmarkStart w:colFirst="0" w:colLast="0" w:name="_22xzgtlrjazq" w:id="9"/>
      <w:bookmarkEnd w:id="9"/>
      <w:r w:rsidDel="00000000" w:rsidR="00000000" w:rsidRPr="00000000">
        <w:rPr>
          <w:rtl w:val="0"/>
        </w:rPr>
        <w:t xml:space="preserve">Staffing and Operational Support</w:t>
      </w:r>
    </w:p>
    <w:p w:rsidR="00000000" w:rsidDel="00000000" w:rsidP="00000000" w:rsidRDefault="00000000" w:rsidRPr="00000000" w14:paraId="0000001C">
      <w:pPr>
        <w:spacing w:after="240" w:before="0" w:lineRule="auto"/>
        <w:rPr/>
      </w:pPr>
      <w:r w:rsidDel="00000000" w:rsidR="00000000" w:rsidRPr="00000000">
        <w:rPr>
          <w:rtl w:val="0"/>
        </w:rPr>
        <w:t xml:space="preserve">The lab will be managed by the Library's Research Data Scientist, in close coordination with the Library Cyberinfrastructure Manager and associated support staff. The AI Research Librarian and Research Data Scientist will conduct workshop programming, and an Information Services Assistant will support administrative coordination leveraging existing staffing within the Libraries Research and Technology Services.</w:t>
      </w:r>
    </w:p>
    <w:p w:rsidR="00000000" w:rsidDel="00000000" w:rsidP="00000000" w:rsidRDefault="00000000" w:rsidRPr="00000000" w14:paraId="0000001D">
      <w:pPr>
        <w:pStyle w:val="Heading1"/>
        <w:rPr/>
      </w:pPr>
      <w:bookmarkStart w:colFirst="0" w:colLast="0" w:name="_79mcbdg8nsov" w:id="10"/>
      <w:bookmarkEnd w:id="10"/>
      <w:r w:rsidDel="00000000" w:rsidR="00000000" w:rsidRPr="00000000">
        <w:rPr>
          <w:rtl w:val="0"/>
        </w:rPr>
        <w:t xml:space="preserve">Pre-Loaded Model Library (Preliminary Example List)</w:t>
      </w:r>
    </w:p>
    <w:p w:rsidR="00000000" w:rsidDel="00000000" w:rsidP="00000000" w:rsidRDefault="00000000" w:rsidRPr="00000000" w14:paraId="0000001E">
      <w:pPr>
        <w:rPr/>
      </w:pPr>
      <w:r w:rsidDel="00000000" w:rsidR="00000000" w:rsidRPr="00000000">
        <w:rPr>
          <w:rtl w:val="0"/>
        </w:rPr>
        <w:t xml:space="preserve">These models act as the underlying intelligence for varied AI research tasks, including text generation, complex reasoning, and multimodal analysis (interpreting both text and visual data).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0"/>
        </w:numPr>
        <w:ind w:left="720" w:hanging="360"/>
        <w:rPr>
          <w:u w:val="none"/>
        </w:rPr>
      </w:pPr>
      <w:r w:rsidDel="00000000" w:rsidR="00000000" w:rsidRPr="00000000">
        <w:rPr>
          <w:i w:val="1"/>
          <w:iCs w:val="1"/>
          <w:rtl w:val="0"/>
        </w:rPr>
        <w:t xml:space="preserve">Gemma</w:t>
      </w:r>
      <w:r w:rsidDel="00000000" w:rsidR="00000000" w:rsidRPr="00000000">
        <w:rPr>
          <w:rtl w:val="0"/>
        </w:rPr>
        <w:t xml:space="preserve">: Lightweight, multimodal model built on Google Gemini technology.</w:t>
      </w:r>
    </w:p>
    <w:p w:rsidR="00000000" w:rsidDel="00000000" w:rsidP="00000000" w:rsidRDefault="00000000" w:rsidRPr="00000000" w14:paraId="00000021">
      <w:pPr>
        <w:numPr>
          <w:ilvl w:val="0"/>
          <w:numId w:val="10"/>
        </w:numPr>
        <w:ind w:left="720" w:hanging="360"/>
        <w:rPr>
          <w:u w:val="none"/>
        </w:rPr>
      </w:pPr>
      <w:r w:rsidDel="00000000" w:rsidR="00000000" w:rsidRPr="00000000">
        <w:rPr>
          <w:i w:val="1"/>
          <w:iCs w:val="1"/>
          <w:rtl w:val="0"/>
        </w:rPr>
        <w:t xml:space="preserve">OpenAI GPT-OSS</w:t>
      </w:r>
      <w:r w:rsidDel="00000000" w:rsidR="00000000" w:rsidRPr="00000000">
        <w:rPr>
          <w:rtl w:val="0"/>
        </w:rPr>
        <w:t xml:space="preserve">: Open-weight model for reasoning and developer use cases.</w:t>
      </w:r>
    </w:p>
    <w:p w:rsidR="00000000" w:rsidDel="00000000" w:rsidP="00000000" w:rsidRDefault="00000000" w:rsidRPr="00000000" w14:paraId="00000022">
      <w:pPr>
        <w:numPr>
          <w:ilvl w:val="0"/>
          <w:numId w:val="10"/>
        </w:numPr>
        <w:ind w:left="720" w:hanging="360"/>
        <w:rPr>
          <w:u w:val="none"/>
        </w:rPr>
      </w:pPr>
      <w:r w:rsidDel="00000000" w:rsidR="00000000" w:rsidRPr="00000000">
        <w:rPr>
          <w:i w:val="1"/>
          <w:iCs w:val="1"/>
          <w:rtl w:val="0"/>
        </w:rPr>
        <w:t xml:space="preserve">Nemotron</w:t>
      </w:r>
      <w:r w:rsidDel="00000000" w:rsidR="00000000" w:rsidRPr="00000000">
        <w:rPr>
          <w:rtl w:val="0"/>
        </w:rPr>
        <w:t xml:space="preserve">: NVIDIA’s multimodal model for data and media workflows.</w:t>
      </w:r>
    </w:p>
    <w:p w:rsidR="00000000" w:rsidDel="00000000" w:rsidP="00000000" w:rsidRDefault="00000000" w:rsidRPr="00000000" w14:paraId="00000023">
      <w:pPr>
        <w:numPr>
          <w:ilvl w:val="0"/>
          <w:numId w:val="10"/>
        </w:numPr>
        <w:ind w:left="720" w:hanging="360"/>
        <w:rPr>
          <w:u w:val="none"/>
        </w:rPr>
      </w:pPr>
      <w:r w:rsidDel="00000000" w:rsidR="00000000" w:rsidRPr="00000000">
        <w:rPr>
          <w:i w:val="1"/>
          <w:iCs w:val="1"/>
          <w:rtl w:val="0"/>
        </w:rPr>
        <w:t xml:space="preserve">Deepseek</w:t>
      </w:r>
      <w:r w:rsidDel="00000000" w:rsidR="00000000" w:rsidRPr="00000000">
        <w:rPr>
          <w:rtl w:val="0"/>
        </w:rPr>
        <w:t xml:space="preserve">: Reasoning model with competitive performance.</w:t>
      </w:r>
    </w:p>
    <w:p w:rsidR="00000000" w:rsidDel="00000000" w:rsidP="00000000" w:rsidRDefault="00000000" w:rsidRPr="00000000" w14:paraId="00000024">
      <w:pPr>
        <w:numPr>
          <w:ilvl w:val="0"/>
          <w:numId w:val="10"/>
        </w:numPr>
        <w:ind w:left="720" w:hanging="360"/>
        <w:rPr>
          <w:u w:val="none"/>
        </w:rPr>
      </w:pPr>
      <w:r w:rsidDel="00000000" w:rsidR="00000000" w:rsidRPr="00000000">
        <w:rPr>
          <w:i w:val="1"/>
          <w:iCs w:val="1"/>
          <w:rtl w:val="0"/>
        </w:rPr>
        <w:t xml:space="preserve">Qwen</w:t>
      </w:r>
      <w:r w:rsidDel="00000000" w:rsidR="00000000" w:rsidRPr="00000000">
        <w:rPr>
          <w:rtl w:val="0"/>
        </w:rPr>
        <w:t xml:space="preserve">: Model that prioritizes real-world utility.</w:t>
      </w:r>
    </w:p>
    <w:p w:rsidR="00000000" w:rsidDel="00000000" w:rsidP="00000000" w:rsidRDefault="00000000" w:rsidRPr="00000000" w14:paraId="00000025">
      <w:pPr>
        <w:pStyle w:val="Heading1"/>
        <w:rPr>
          <w:b w:val="1"/>
          <w:bCs w:val="1"/>
        </w:rPr>
      </w:pPr>
      <w:bookmarkStart w:colFirst="0" w:colLast="0" w:name="_daoerynx24yn" w:id="11"/>
      <w:bookmarkEnd w:id="11"/>
      <w:r w:rsidDel="00000000" w:rsidR="00000000" w:rsidRPr="00000000">
        <w:rPr>
          <w:rtl w:val="0"/>
        </w:rPr>
        <w:br w:type="textWrapping"/>
      </w:r>
      <w:r w:rsidDel="00000000" w:rsidR="00000000" w:rsidRPr="00000000">
        <w:rPr>
          <w:b w:val="1"/>
          <w:bCs w:val="1"/>
          <w:rtl w:val="0"/>
        </w:rPr>
        <w:t xml:space="preserve">Future Considerations Software (Hardware Purchase Dependent)</w:t>
      </w:r>
    </w:p>
    <w:p w:rsidR="00000000" w:rsidDel="00000000" w:rsidP="00000000" w:rsidRDefault="00000000" w:rsidRPr="00000000" w14:paraId="00000026">
      <w:pPr>
        <w:numPr>
          <w:ilvl w:val="0"/>
          <w:numId w:val="2"/>
        </w:numPr>
        <w:ind w:left="720" w:hanging="360"/>
        <w:rPr>
          <w:u w:val="none"/>
        </w:rPr>
      </w:pPr>
      <w:r w:rsidDel="00000000" w:rsidR="00000000" w:rsidRPr="00000000">
        <w:rPr>
          <w:i w:val="1"/>
          <w:iCs w:val="1"/>
          <w:rtl w:val="0"/>
        </w:rPr>
        <w:t xml:space="preserve">Kimi K2</w:t>
      </w:r>
      <w:r w:rsidDel="00000000" w:rsidR="00000000" w:rsidRPr="00000000">
        <w:rPr>
          <w:rtl w:val="0"/>
        </w:rPr>
        <w:t xml:space="preserve">: Interdisciplinary research, mathematical reasoning, coding, complex STEM.</w:t>
      </w:r>
    </w:p>
    <w:p w:rsidR="00000000" w:rsidDel="00000000" w:rsidP="00000000" w:rsidRDefault="00000000" w:rsidRPr="00000000" w14:paraId="00000027">
      <w:pPr>
        <w:numPr>
          <w:ilvl w:val="0"/>
          <w:numId w:val="2"/>
        </w:numPr>
        <w:ind w:left="720" w:hanging="360"/>
        <w:rPr>
          <w:u w:val="none"/>
        </w:rPr>
      </w:pPr>
      <w:r w:rsidDel="00000000" w:rsidR="00000000" w:rsidRPr="00000000">
        <w:rPr>
          <w:i w:val="1"/>
          <w:iCs w:val="1"/>
          <w:rtl w:val="0"/>
        </w:rPr>
        <w:t xml:space="preserve">GLM</w:t>
      </w:r>
      <w:r w:rsidDel="00000000" w:rsidR="00000000" w:rsidRPr="00000000">
        <w:rPr>
          <w:rtl w:val="0"/>
        </w:rPr>
        <w:t xml:space="preserve">: Cross disciplinary research, AI agentic workflows.</w:t>
      </w:r>
      <w:r w:rsidDel="00000000" w:rsidR="00000000" w:rsidRPr="00000000">
        <w:br w:type="page"/>
      </w:r>
      <w:r w:rsidDel="00000000" w:rsidR="00000000" w:rsidRPr="00000000">
        <w:rPr>
          <w:rtl w:val="0"/>
        </w:rPr>
      </w:r>
    </w:p>
    <w:p w:rsidR="00000000" w:rsidDel="00000000" w:rsidP="00000000" w:rsidRDefault="00000000" w:rsidRPr="00000000" w14:paraId="00000028">
      <w:pPr>
        <w:pStyle w:val="Subtitle"/>
        <w:spacing w:after="200" w:lineRule="auto"/>
        <w:rPr/>
      </w:pPr>
      <w:bookmarkStart w:colFirst="0" w:colLast="0" w:name="_v62r5ikrqlaq" w:id="12"/>
      <w:bookmarkEnd w:id="12"/>
      <w:r w:rsidDel="00000000" w:rsidR="00000000" w:rsidRPr="00000000">
        <w:rPr>
          <w:rtl w:val="0"/>
        </w:rPr>
        <w:t xml:space="preserve">Proposed Hardware Upgrades to the Lab</w:t>
      </w:r>
    </w:p>
    <w:p w:rsidR="00000000" w:rsidDel="00000000" w:rsidP="00000000" w:rsidRDefault="00000000" w:rsidRPr="00000000" w14:paraId="00000029">
      <w:pPr>
        <w:pStyle w:val="Heading1"/>
        <w:rPr/>
      </w:pPr>
      <w:bookmarkStart w:colFirst="0" w:colLast="0" w:name="_j4ipwlc2uc7l" w:id="13"/>
      <w:bookmarkEnd w:id="13"/>
      <w:r w:rsidDel="00000000" w:rsidR="00000000" w:rsidRPr="00000000">
        <w:rPr>
          <w:rtl w:val="0"/>
        </w:rPr>
        <w:t xml:space="preserve">Budget Tier Option 1 (Preferred): Comprehensive AI Infrastructure Expansion</w:t>
      </w:r>
    </w:p>
    <w:p w:rsidR="00000000" w:rsidDel="00000000" w:rsidP="00000000" w:rsidRDefault="00000000" w:rsidRPr="00000000" w14:paraId="0000002A">
      <w:pPr>
        <w:rPr/>
      </w:pPr>
      <w:r w:rsidDel="00000000" w:rsidR="00000000" w:rsidRPr="00000000">
        <w:rPr>
          <w:rtl w:val="0"/>
        </w:rPr>
        <w:t xml:space="preserve">This budget maximizes the capacity of Orbach Room 148 by adding </w:t>
      </w:r>
      <w:r w:rsidDel="00000000" w:rsidR="00000000" w:rsidRPr="00000000">
        <w:rPr>
          <w:b w:val="1"/>
          <w:bCs w:val="1"/>
          <w:rtl w:val="0"/>
        </w:rPr>
        <w:t xml:space="preserve">eight high-performance workstations</w:t>
      </w:r>
      <w:r w:rsidDel="00000000" w:rsidR="00000000" w:rsidRPr="00000000">
        <w:rPr>
          <w:rtl w:val="0"/>
        </w:rPr>
        <w:t xml:space="preserve">. This configuration provides the computational power and high memory (VRAM) required for advanced AI research, including large-scale model interaction and fine-tuning. By offering a diverse range of hardware and operating systems, we ensure researchers across all disciplines have the specific tools necessary for their varied workflows.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Hardware Description:</w:t>
      </w:r>
    </w:p>
    <w:p w:rsidR="00000000" w:rsidDel="00000000" w:rsidP="00000000" w:rsidRDefault="00000000" w:rsidRPr="00000000" w14:paraId="0000002D">
      <w:pPr>
        <w:numPr>
          <w:ilvl w:val="0"/>
          <w:numId w:val="6"/>
        </w:numPr>
        <w:ind w:left="720" w:hanging="360"/>
        <w:rPr>
          <w:u w:val="none"/>
        </w:rPr>
      </w:pPr>
      <w:r w:rsidDel="00000000" w:rsidR="00000000" w:rsidRPr="00000000">
        <w:rPr>
          <w:i w:val="1"/>
          <w:iCs w:val="1"/>
          <w:rtl w:val="0"/>
        </w:rPr>
        <w:t xml:space="preserve">Dell Pro Max Tower T2 Desktop (RTX PRO 6000)</w:t>
      </w:r>
      <w:r w:rsidDel="00000000" w:rsidR="00000000" w:rsidRPr="00000000">
        <w:rPr>
          <w:rtl w:val="0"/>
        </w:rPr>
        <w:t xml:space="preserve">: This system represents the optimal balance of speed and memory capacity. It is engineered for research and tasks that require both rapid processing and the ability to load large-scale AI models. It is the fastest option for large models, making it the primary choice for AI tasks where both model capability and turnaround time are critical.</w:t>
      </w:r>
    </w:p>
    <w:p w:rsidR="00000000" w:rsidDel="00000000" w:rsidP="00000000" w:rsidRDefault="00000000" w:rsidRPr="00000000" w14:paraId="0000002E">
      <w:pPr>
        <w:numPr>
          <w:ilvl w:val="0"/>
          <w:numId w:val="6"/>
        </w:numPr>
        <w:ind w:left="720" w:hanging="360"/>
        <w:rPr>
          <w:u w:val="none"/>
        </w:rPr>
      </w:pPr>
      <w:r w:rsidDel="00000000" w:rsidR="00000000" w:rsidRPr="00000000">
        <w:rPr>
          <w:i w:val="1"/>
          <w:iCs w:val="1"/>
          <w:rtl w:val="0"/>
        </w:rPr>
        <w:t xml:space="preserve">Alienware Desktop (RTX 5090)</w:t>
      </w:r>
      <w:r w:rsidDel="00000000" w:rsidR="00000000" w:rsidRPr="00000000">
        <w:rPr>
          <w:rtl w:val="0"/>
        </w:rPr>
        <w:t xml:space="preserve">: This system is optimized for speed for tasks requiring medium-size models. While it has less memory than the pro-grade unit, its high speed makes it a fast workstation for standard research tasks. As a more cost-effective solution, these are ideal for researchers working with mid-sized models who need to prototype AI applications quickly.</w:t>
      </w:r>
    </w:p>
    <w:p w:rsidR="00000000" w:rsidDel="00000000" w:rsidP="00000000" w:rsidRDefault="00000000" w:rsidRPr="00000000" w14:paraId="0000002F">
      <w:pPr>
        <w:numPr>
          <w:ilvl w:val="0"/>
          <w:numId w:val="6"/>
        </w:numPr>
        <w:ind w:left="720" w:hanging="360"/>
        <w:rPr>
          <w:u w:val="none"/>
        </w:rPr>
      </w:pPr>
      <w:r w:rsidDel="00000000" w:rsidR="00000000" w:rsidRPr="00000000">
        <w:rPr>
          <w:i w:val="1"/>
          <w:iCs w:val="1"/>
          <w:rtl w:val="0"/>
        </w:rPr>
        <w:t xml:space="preserve">Mac Studio M3 &amp; NVIDIA DGX Spark</w:t>
      </w:r>
      <w:r w:rsidDel="00000000" w:rsidR="00000000" w:rsidRPr="00000000">
        <w:rPr>
          <w:rtl w:val="0"/>
        </w:rPr>
        <w:t xml:space="preserve">: These units have the largest memory capacities, which allow them to host the largest open-source AI models. They operate at a more moderate, mid-range speed compared to the Dell and Alienware units, but they provide the room necessary for data-intensive tasks. These are cost-effective tools for high-memory needs and provide operating system diversity (macOS and Linux). They are a great option for research where a scholar needs to run a large model that would exceed the memory limits of a standard computer.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1"/>
        <w:tblW w:w="92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5"/>
        <w:gridCol w:w="3005"/>
        <w:gridCol w:w="1565"/>
        <w:gridCol w:w="1595"/>
        <w:gridCol w:w="1610"/>
        <w:tblGridChange w:id="0">
          <w:tblGrid>
            <w:gridCol w:w="1475"/>
            <w:gridCol w:w="3005"/>
            <w:gridCol w:w="1565"/>
            <w:gridCol w:w="1595"/>
            <w:gridCol w:w="1610"/>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b w:val="1"/>
                <w:bCs w:val="1"/>
              </w:rPr>
            </w:pPr>
            <w:r w:rsidDel="00000000" w:rsidR="00000000" w:rsidRPr="00000000">
              <w:rPr>
                <w:b w:val="1"/>
                <w:bCs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rPr>
                <w:b w:val="1"/>
                <w:bCs w:val="1"/>
              </w:rPr>
            </w:pPr>
            <w:r w:rsidDel="00000000" w:rsidR="00000000" w:rsidRPr="00000000">
              <w:rPr>
                <w:b w:val="1"/>
                <w:bCs w:val="1"/>
                <w:rtl w:val="0"/>
              </w:rPr>
              <w:t xml:space="preserve">Item</w:t>
            </w:r>
          </w:p>
        </w:tc>
        <w:tc>
          <w:tcPr>
            <w:tcBorders>
              <w:top w:color="000000" w:space="0" w:sz="8" w:val="single"/>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b w:val="1"/>
                <w:bCs w:val="1"/>
              </w:rPr>
            </w:pPr>
            <w:r w:rsidDel="00000000" w:rsidR="00000000" w:rsidRPr="00000000">
              <w:rPr>
                <w:b w:val="1"/>
                <w:bCs w:val="1"/>
                <w:rtl w:val="0"/>
              </w:rPr>
              <w:t xml:space="preserve">Quantity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b w:val="1"/>
                <w:bCs w:val="1"/>
              </w:rPr>
            </w:pPr>
            <w:r w:rsidDel="00000000" w:rsidR="00000000" w:rsidRPr="00000000">
              <w:rPr>
                <w:b w:val="1"/>
                <w:bCs w:val="1"/>
                <w:rtl w:val="0"/>
              </w:rPr>
              <w:t xml:space="preserve">Cost/Unit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b w:val="1"/>
                <w:bCs w:val="1"/>
              </w:rPr>
            </w:pPr>
            <w:r w:rsidDel="00000000" w:rsidR="00000000" w:rsidRPr="00000000">
              <w:rPr>
                <w:b w:val="1"/>
                <w:bCs w:val="1"/>
                <w:rtl w:val="0"/>
              </w:rPr>
              <w:t xml:space="preserve">Total Cost</w:t>
            </w:r>
          </w:p>
        </w:tc>
      </w:tr>
      <w:tr>
        <w:trPr>
          <w:cantSplit w:val="0"/>
          <w:trHeight w:val="780" w:hRule="atLeast"/>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Workstation</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Dell Pro Max Tower T2 Desktop - RTX PRO 6000</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3</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$14,176.15</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$42,528.45</w:t>
            </w:r>
          </w:p>
        </w:tc>
      </w:tr>
      <w:tr>
        <w:trPr>
          <w:cantSplit w:val="0"/>
          <w:trHeight w:val="770" w:hRule="atLeast"/>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Workstation</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Alienware Desktop - RTX 5090</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3</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$6,849.99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$20,549.97</w:t>
            </w:r>
          </w:p>
        </w:tc>
      </w:tr>
      <w:tr>
        <w:trPr>
          <w:cantSplit w:val="0"/>
          <w:trHeight w:val="506.8505859375" w:hRule="atLeast"/>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Workstation</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NVIDIA DGX Spark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1</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$4,699.99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$4,699.99</w:t>
            </w:r>
          </w:p>
        </w:tc>
      </w:tr>
      <w:tr>
        <w:trPr>
          <w:cantSplit w:val="0"/>
          <w:trHeight w:val="401.8505859375" w:hRule="atLeast"/>
          <w:tblHeader w:val="0"/>
        </w:trPr>
        <w:tc>
          <w:tcPr>
            <w:tcBorders>
              <w:top w:color="000000" w:space="0" w:sz="0" w:val="nil"/>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Workstation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Apple Mac Studio M3 Ultra</w:t>
            </w:r>
          </w:p>
        </w:tc>
        <w:tc>
          <w:tcPr>
            <w:tcBorders>
              <w:top w:color="000000" w:space="0" w:sz="0" w:val="nil"/>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$7,899.00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$7,899.00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ThinkCentre</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1</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$759.00</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$759.00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Alienware Monitor</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8</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$349.99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$2,799.92</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Dell Keyboard</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8</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$12.95</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$103.60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Dell Optical Mouse</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8</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$8.29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$66.32</w:t>
            </w:r>
          </w:p>
        </w:tc>
      </w:tr>
      <w:tr>
        <w:trPr>
          <w:cantSplit w:val="0"/>
          <w:tblHeader w:val="0"/>
        </w:trPr>
        <w:tc>
          <w:tcPr>
            <w:tcBorders>
              <w:top w:color="000000" w:space="0" w:sz="0" w:val="nil"/>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Peripherals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Cabling</w:t>
            </w:r>
          </w:p>
        </w:tc>
        <w:tc>
          <w:tcPr>
            <w:tcBorders>
              <w:top w:color="000000" w:space="0" w:sz="0" w:val="nil"/>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$9.99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$79.92</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Facilities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Furniture Estimate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$20,000.00</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$20,000.00</w:t>
            </w:r>
          </w:p>
        </w:tc>
      </w:tr>
      <w:tr>
        <w:trPr>
          <w:cantSplit w:val="0"/>
          <w:trHeight w:val="165" w:hRule="atLeast"/>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Facilities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Ethernet Estimate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$2,500.00</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$2,500.00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Facilities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Carpet Estimate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$10,000.00</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$10,000.00</w:t>
            </w:r>
          </w:p>
        </w:tc>
      </w:tr>
      <w:tr>
        <w:trPr>
          <w:cantSplit w:val="0"/>
          <w:tblHeader w:val="0"/>
        </w:trPr>
        <w:tc>
          <w:tcPr>
            <w:tcBorders>
              <w:top w:color="000000" w:space="0" w:sz="0" w:val="nil"/>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Facilities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Security Camera Estimate **</w:t>
            </w:r>
          </w:p>
        </w:tc>
        <w:tc>
          <w:tcPr>
            <w:tcBorders>
              <w:top w:color="000000" w:space="0" w:sz="0" w:val="nil"/>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 $750.00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$1,500.000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 </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 </w:t>
            </w:r>
          </w:p>
        </w:tc>
        <w:tc>
          <w:tcPr>
            <w:gridSpan w:val="2"/>
            <w:tcBorders>
              <w:top w:color="000000" w:space="0" w:sz="8"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rPr>
                <w:b w:val="1"/>
                <w:bCs w:val="1"/>
              </w:rPr>
            </w:pPr>
            <w:r w:rsidDel="00000000" w:rsidR="00000000" w:rsidRPr="00000000">
              <w:rPr>
                <w:b w:val="1"/>
                <w:bCs w:val="1"/>
                <w:rtl w:val="0"/>
              </w:rPr>
              <w:t xml:space="preserve">Total Before Tax</w:t>
            </w:r>
          </w:p>
        </w:tc>
        <w:tc>
          <w:tcPr>
            <w:tcBorders>
              <w:top w:color="000000" w:space="0" w:sz="8"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$113,486.17</w:t>
            </w:r>
          </w:p>
        </w:tc>
      </w:tr>
      <w:tr>
        <w:trPr>
          <w:cantSplit w:val="0"/>
          <w:trHeight w:val="435" w:hRule="atLeast"/>
          <w:tblHeader w:val="0"/>
        </w:trPr>
        <w:tc>
          <w:tcPr>
            <w:tcBorders>
              <w:top w:color="000000" w:space="0" w:sz="0" w:val="nil"/>
              <w:left w:color="000000" w:space="0" w:sz="8" w:val="single"/>
              <w:bottom w:color="adadad" w:space="0" w:sz="4" w:val="single"/>
              <w:right w:color="adadad"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 </w:t>
            </w:r>
          </w:p>
        </w:tc>
        <w:tc>
          <w:tcPr>
            <w:tcBorders>
              <w:top w:color="000000" w:space="0" w:sz="0" w:val="nil"/>
              <w:left w:color="000000" w:space="0" w:sz="0" w:val="nil"/>
              <w:bottom w:color="adadad" w:space="0" w:sz="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 </w:t>
            </w:r>
          </w:p>
        </w:tc>
        <w:tc>
          <w:tcPr>
            <w:gridSpan w:val="2"/>
            <w:tcBorders>
              <w:top w:color="adadad" w:space="0" w:sz="4" w:val="single"/>
              <w:left w:color="000000" w:space="0" w:sz="0" w:val="nil"/>
              <w:bottom w:color="adadad" w:space="0" w:sz="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rPr>
                <w:b w:val="1"/>
                <w:bCs w:val="1"/>
              </w:rPr>
            </w:pPr>
            <w:r w:rsidDel="00000000" w:rsidR="00000000" w:rsidRPr="00000000">
              <w:rPr>
                <w:b w:val="1"/>
                <w:bCs w:val="1"/>
                <w:rtl w:val="0"/>
              </w:rPr>
              <w:t xml:space="preserve">Estimated Tax (10%)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$11,348.62</w:t>
            </w:r>
          </w:p>
        </w:tc>
      </w:tr>
      <w:tr>
        <w:trPr>
          <w:cantSplit w:val="0"/>
          <w:trHeight w:val="446.8505859375" w:hRule="atLeast"/>
          <w:tblHeader w:val="0"/>
        </w:trPr>
        <w:tc>
          <w:tcPr>
            <w:tcBorders>
              <w:top w:color="000000" w:space="0" w:sz="0" w:val="nil"/>
              <w:left w:color="000000" w:space="0" w:sz="8" w:val="single"/>
              <w:bottom w:color="000000" w:space="0" w:sz="8" w:val="single"/>
              <w:right w:color="adadad"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 </w:t>
            </w:r>
          </w:p>
        </w:tc>
        <w:tc>
          <w:tcPr>
            <w:gridSpan w:val="2"/>
            <w:tcBorders>
              <w:top w:color="adadad" w:space="0" w:sz="4"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rPr>
                <w:b w:val="1"/>
                <w:bCs w:val="1"/>
              </w:rPr>
            </w:pPr>
            <w:r w:rsidDel="00000000" w:rsidR="00000000" w:rsidRPr="00000000">
              <w:rPr>
                <w:b w:val="1"/>
                <w:bCs w:val="1"/>
                <w:rtl w:val="0"/>
              </w:rPr>
              <w:t xml:space="preserve">Total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rPr>
                <w:b w:val="1"/>
                <w:bCs w:val="1"/>
              </w:rPr>
            </w:pPr>
            <w:r w:rsidDel="00000000" w:rsidR="00000000" w:rsidRPr="00000000">
              <w:rPr>
                <w:b w:val="1"/>
                <w:bCs w:val="1"/>
                <w:rtl w:val="0"/>
              </w:rPr>
              <w:t xml:space="preserve">$124,834.79</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 Hardware prices as of April 29, 2026</w:t>
      </w:r>
    </w:p>
    <w:p w:rsidR="00000000" w:rsidDel="00000000" w:rsidP="00000000" w:rsidRDefault="00000000" w:rsidRPr="00000000" w14:paraId="00000089">
      <w:pPr>
        <w:pStyle w:val="Heading1"/>
        <w:rPr/>
      </w:pPr>
      <w:bookmarkStart w:colFirst="0" w:colLast="0" w:name="_43pqwdtx178" w:id="14"/>
      <w:bookmarkEnd w:id="14"/>
      <w:r w:rsidDel="00000000" w:rsidR="00000000" w:rsidRPr="00000000">
        <w:rPr>
          <w:rtl w:val="0"/>
        </w:rPr>
        <w:t xml:space="preserve">** Note: Estimates for furniture and electrical/network port installations are based on past project costs. Formal quotes from Facilities are currently in progress, and furniture quotes will be requested once the room assignment is confirmed.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rPr/>
      </w:pPr>
      <w:bookmarkStart w:colFirst="0" w:colLast="0" w:name="_dmgdm3blysve" w:id="15"/>
      <w:bookmarkEnd w:id="15"/>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rPr/>
      </w:pPr>
      <w:bookmarkStart w:colFirst="0" w:colLast="0" w:name="_769qv2q8ufmy" w:id="16"/>
      <w:bookmarkEnd w:id="16"/>
      <w:r w:rsidDel="00000000" w:rsidR="00000000" w:rsidRPr="00000000">
        <w:rPr>
          <w:rtl w:val="0"/>
        </w:rPr>
        <w:t xml:space="preserve">Budget Tier Option 2: Targeted AI Infrastructure Expansion</w:t>
      </w:r>
    </w:p>
    <w:p w:rsidR="00000000" w:rsidDel="00000000" w:rsidP="00000000" w:rsidRDefault="00000000" w:rsidRPr="00000000" w14:paraId="0000008D">
      <w:pPr>
        <w:rPr/>
      </w:pPr>
      <w:r w:rsidDel="00000000" w:rsidR="00000000" w:rsidRPr="00000000">
        <w:rPr>
          <w:rtl w:val="0"/>
        </w:rPr>
        <w:t xml:space="preserve">This budget outlines the setup of Orbach Room 148 with </w:t>
      </w:r>
      <w:r w:rsidDel="00000000" w:rsidR="00000000" w:rsidRPr="00000000">
        <w:rPr>
          <w:b w:val="1"/>
          <w:bCs w:val="1"/>
          <w:rtl w:val="0"/>
        </w:rPr>
        <w:t xml:space="preserve">four high-performance workstations</w:t>
      </w:r>
      <w:r w:rsidDel="00000000" w:rsidR="00000000" w:rsidRPr="00000000">
        <w:rPr>
          <w:rtl w:val="0"/>
        </w:rPr>
        <w:t xml:space="preserve">, offering a strategic middle ground for the lab's infrastructure. While more focused in scale than the eight-station proposal, this configuration still provides the high memory (VRAM) and computational power necessary for advanced AI research and model fine-tuning. By concentrating on core hardware standards, this setup ensures researchers can prioritize either rapid processing speed or large-scale model capacity depending on their project's needs.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Hardware Description:</w:t>
      </w:r>
    </w:p>
    <w:p w:rsidR="00000000" w:rsidDel="00000000" w:rsidP="00000000" w:rsidRDefault="00000000" w:rsidRPr="00000000" w14:paraId="00000090">
      <w:pPr>
        <w:numPr>
          <w:ilvl w:val="0"/>
          <w:numId w:val="6"/>
        </w:numPr>
        <w:ind w:left="720" w:hanging="360"/>
      </w:pPr>
      <w:r w:rsidDel="00000000" w:rsidR="00000000" w:rsidRPr="00000000">
        <w:rPr>
          <w:i w:val="1"/>
          <w:iCs w:val="1"/>
          <w:rtl w:val="0"/>
        </w:rPr>
        <w:t xml:space="preserve">Dell Pro Max Tower T2 Desktop (RTX PRO 6000)</w:t>
      </w:r>
      <w:r w:rsidDel="00000000" w:rsidR="00000000" w:rsidRPr="00000000">
        <w:rPr>
          <w:rtl w:val="0"/>
        </w:rPr>
        <w:t xml:space="preserve">: This system represents the optimal balance of speed and memory capacity. It is engineered for research and tasks that require both rapid processing and the ability to load large-scale AI models. It is the fastest option for large models, making it the primary choice for AI tasks where both model capability and turnaround time are critical.</w:t>
      </w:r>
    </w:p>
    <w:p w:rsidR="00000000" w:rsidDel="00000000" w:rsidP="00000000" w:rsidRDefault="00000000" w:rsidRPr="00000000" w14:paraId="00000091">
      <w:pPr>
        <w:numPr>
          <w:ilvl w:val="0"/>
          <w:numId w:val="6"/>
        </w:numPr>
        <w:ind w:left="720" w:hanging="360"/>
      </w:pPr>
      <w:r w:rsidDel="00000000" w:rsidR="00000000" w:rsidRPr="00000000">
        <w:rPr>
          <w:i w:val="1"/>
          <w:iCs w:val="1"/>
          <w:rtl w:val="0"/>
        </w:rPr>
        <w:t xml:space="preserve">Alienware Desktop (RTX 5090)</w:t>
      </w:r>
      <w:r w:rsidDel="00000000" w:rsidR="00000000" w:rsidRPr="00000000">
        <w:rPr>
          <w:rtl w:val="0"/>
        </w:rPr>
        <w:t xml:space="preserve">: This system is optimized for speed for tasks requiring medium-size models. While it has less memory than the pro-grade unit, its high speed makes it a fast workstation for standard research tasks. As a more cost-effective solution, these are ideal for researchers working with mid-sized models who need to prototype AI applications quickly.</w:t>
      </w:r>
    </w:p>
    <w:p w:rsidR="00000000" w:rsidDel="00000000" w:rsidP="00000000" w:rsidRDefault="00000000" w:rsidRPr="00000000" w14:paraId="00000092">
      <w:pPr>
        <w:numPr>
          <w:ilvl w:val="0"/>
          <w:numId w:val="6"/>
        </w:numPr>
        <w:ind w:left="720" w:hanging="360"/>
      </w:pPr>
      <w:r w:rsidDel="00000000" w:rsidR="00000000" w:rsidRPr="00000000">
        <w:rPr>
          <w:i w:val="1"/>
          <w:iCs w:val="1"/>
          <w:rtl w:val="0"/>
        </w:rPr>
        <w:t xml:space="preserve">NVIDIA DGX Spark</w:t>
      </w:r>
      <w:r w:rsidDel="00000000" w:rsidR="00000000" w:rsidRPr="00000000">
        <w:rPr>
          <w:rtl w:val="0"/>
        </w:rPr>
        <w:t xml:space="preserve">: This unit has the largest memory capacity, which allows it to host the largest open-source AI models. It operates at a more moderate, mid-range speed compared to the Dell and Alienware units, but it provides the room necessary for data-intensive tasks. It is a cost-effective tool for high-memory needs and provides operating system diversity (Linux). It is ideal for research where a scholar needs to run a large model that would exceed the memory limits of a standard computer. </w:t>
      </w:r>
    </w:p>
    <w:p w:rsidR="00000000" w:rsidDel="00000000" w:rsidP="00000000" w:rsidRDefault="00000000" w:rsidRPr="00000000" w14:paraId="00000093">
      <w:pPr>
        <w:rPr>
          <w:highlight w:val="yellow"/>
        </w:rPr>
      </w:pPr>
      <w:r w:rsidDel="00000000" w:rsidR="00000000" w:rsidRPr="00000000">
        <w:rPr>
          <w:rtl w:val="0"/>
        </w:rPr>
      </w:r>
    </w:p>
    <w:p w:rsidR="00000000" w:rsidDel="00000000" w:rsidP="00000000" w:rsidRDefault="00000000" w:rsidRPr="00000000" w14:paraId="00000094">
      <w:pPr>
        <w:rPr>
          <w:highlight w:val="yellow"/>
        </w:rPr>
      </w:pPr>
      <w:r w:rsidDel="00000000" w:rsidR="00000000" w:rsidRPr="00000000">
        <w:rPr>
          <w:rtl w:val="0"/>
        </w:rPr>
      </w:r>
    </w:p>
    <w:tbl>
      <w:tblPr>
        <w:tblStyle w:val="Table2"/>
        <w:tblpPr w:leftFromText="180" w:rightFromText="180" w:topFromText="180" w:bottomFromText="180" w:vertAnchor="text" w:horzAnchor="text" w:tblpX="-75" w:tblpY="0"/>
        <w:tblW w:w="92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5"/>
        <w:gridCol w:w="3020"/>
        <w:gridCol w:w="1565"/>
        <w:gridCol w:w="1595"/>
        <w:gridCol w:w="1595"/>
        <w:tblGridChange w:id="0">
          <w:tblGrid>
            <w:gridCol w:w="1475"/>
            <w:gridCol w:w="3020"/>
            <w:gridCol w:w="1565"/>
            <w:gridCol w:w="1595"/>
            <w:gridCol w:w="1595"/>
          </w:tblGrid>
        </w:tblGridChange>
      </w:tblGrid>
      <w:tr>
        <w:trPr>
          <w:cantSplit w:val="0"/>
          <w:tblHeader w:val="0"/>
        </w:trPr>
        <w:tc>
          <w:tcPr>
            <w:tcBorders>
              <w:top w:color="000000" w:space="0" w:sz="8" w:val="single"/>
              <w:left w:color="000000" w:space="0" w:sz="8" w:val="single"/>
              <w:bottom w:color="000000" w:space="0" w:sz="8" w:val="single"/>
              <w:right w:color="adadad" w:space="0" w:sz="4" w:val="single"/>
            </w:tcBorders>
          </w:tcPr>
          <w:p w:rsidR="00000000" w:rsidDel="00000000" w:rsidP="00000000" w:rsidRDefault="00000000" w:rsidRPr="00000000" w14:paraId="00000095">
            <w:pPr>
              <w:rPr>
                <w:b w:val="1"/>
                <w:bCs w:val="1"/>
              </w:rPr>
            </w:pPr>
            <w:r w:rsidDel="00000000" w:rsidR="00000000" w:rsidRPr="00000000">
              <w:rPr>
                <w:b w:val="1"/>
                <w:bCs w:val="1"/>
                <w:rtl w:val="0"/>
              </w:rPr>
              <w:t xml:space="preserve">Category</w:t>
            </w:r>
          </w:p>
        </w:tc>
        <w:tc>
          <w:tcPr>
            <w:tcBorders>
              <w:top w:color="000000" w:space="0" w:sz="8" w:val="single"/>
              <w:left w:color="adadad" w:space="0" w:sz="4" w:val="single"/>
              <w:bottom w:color="000000" w:space="0" w:sz="8" w:val="single"/>
              <w:right w:color="000000" w:space="0" w:sz="8" w:val="single"/>
            </w:tcBorders>
          </w:tcPr>
          <w:p w:rsidR="00000000" w:rsidDel="00000000" w:rsidP="00000000" w:rsidRDefault="00000000" w:rsidRPr="00000000" w14:paraId="00000096">
            <w:pPr>
              <w:rPr>
                <w:b w:val="1"/>
                <w:bCs w:val="1"/>
              </w:rPr>
            </w:pPr>
            <w:r w:rsidDel="00000000" w:rsidR="00000000" w:rsidRPr="00000000">
              <w:rPr>
                <w:b w:val="1"/>
                <w:bCs w:val="1"/>
                <w:rtl w:val="0"/>
              </w:rPr>
              <w:t xml:space="preserve">Item</w:t>
            </w:r>
          </w:p>
        </w:tc>
        <w:tc>
          <w:tcPr>
            <w:tcBorders>
              <w:top w:color="000000" w:space="0" w:sz="8" w:val="single"/>
              <w:left w:color="000000" w:space="0" w:sz="8" w:val="single"/>
              <w:bottom w:color="000000" w:space="0" w:sz="8" w:val="single"/>
              <w:right w:color="adadad" w:space="0" w:sz="4" w:val="single"/>
            </w:tcBorders>
          </w:tcPr>
          <w:p w:rsidR="00000000" w:rsidDel="00000000" w:rsidP="00000000" w:rsidRDefault="00000000" w:rsidRPr="00000000" w14:paraId="00000097">
            <w:pPr>
              <w:rPr>
                <w:b w:val="1"/>
                <w:bCs w:val="1"/>
              </w:rPr>
            </w:pPr>
            <w:r w:rsidDel="00000000" w:rsidR="00000000" w:rsidRPr="00000000">
              <w:rPr>
                <w:b w:val="1"/>
                <w:bCs w:val="1"/>
                <w:rtl w:val="0"/>
              </w:rPr>
              <w:t xml:space="preserve">Quantity</w:t>
            </w:r>
          </w:p>
        </w:tc>
        <w:tc>
          <w:tcPr>
            <w:tcBorders>
              <w:top w:color="000000" w:space="0" w:sz="8" w:val="single"/>
              <w:left w:color="adadad" w:space="0" w:sz="4" w:val="single"/>
              <w:bottom w:color="000000" w:space="0" w:sz="8" w:val="single"/>
              <w:right w:color="000000" w:space="0" w:sz="8" w:val="single"/>
            </w:tcBorders>
          </w:tcPr>
          <w:p w:rsidR="00000000" w:rsidDel="00000000" w:rsidP="00000000" w:rsidRDefault="00000000" w:rsidRPr="00000000" w14:paraId="00000098">
            <w:pPr>
              <w:rPr>
                <w:b w:val="1"/>
                <w:bCs w:val="1"/>
              </w:rPr>
            </w:pPr>
            <w:r w:rsidDel="00000000" w:rsidR="00000000" w:rsidRPr="00000000">
              <w:rPr>
                <w:b w:val="1"/>
                <w:bCs w:val="1"/>
                <w:rtl w:val="0"/>
              </w:rPr>
              <w:t xml:space="preserve">Cost/Unit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rPr>
                <w:b w:val="1"/>
                <w:bCs w:val="1"/>
              </w:rPr>
            </w:pPr>
            <w:r w:rsidDel="00000000" w:rsidR="00000000" w:rsidRPr="00000000">
              <w:rPr>
                <w:b w:val="1"/>
                <w:bCs w:val="1"/>
                <w:rtl w:val="0"/>
              </w:rPr>
              <w:t xml:space="preserve">Total Cost</w:t>
            </w:r>
          </w:p>
        </w:tc>
      </w:tr>
      <w:tr>
        <w:trPr>
          <w:cantSplit w:val="0"/>
          <w:trHeight w:val="735" w:hRule="atLeast"/>
          <w:tblHeader w:val="0"/>
        </w:trPr>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9A">
            <w:pPr>
              <w:rPr/>
            </w:pPr>
            <w:r w:rsidDel="00000000" w:rsidR="00000000" w:rsidRPr="00000000">
              <w:rPr>
                <w:rtl w:val="0"/>
              </w:rPr>
              <w:t xml:space="preserve">Workstation</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9B">
            <w:pPr>
              <w:widowControl w:val="0"/>
              <w:rPr/>
            </w:pPr>
            <w:r w:rsidDel="00000000" w:rsidR="00000000" w:rsidRPr="00000000">
              <w:rPr>
                <w:rtl w:val="0"/>
              </w:rPr>
              <w:t xml:space="preserve">Dell Pro Max Tower T2 Desktop - RTX PRO 6000</w:t>
            </w:r>
          </w:p>
        </w:tc>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9C">
            <w:pPr>
              <w:rPr/>
            </w:pPr>
            <w:r w:rsidDel="00000000" w:rsidR="00000000" w:rsidRPr="00000000">
              <w:rPr>
                <w:rtl w:val="0"/>
              </w:rPr>
              <w:t xml:space="preserve">2</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9D">
            <w:pPr>
              <w:widowControl w:val="0"/>
              <w:rPr/>
            </w:pPr>
            <w:r w:rsidDel="00000000" w:rsidR="00000000" w:rsidRPr="00000000">
              <w:rPr>
                <w:rtl w:val="0"/>
              </w:rPr>
              <w:t xml:space="preserve">$14,176.15</w:t>
            </w:r>
          </w:p>
        </w:tc>
        <w:tc>
          <w:tcPr>
            <w:tcBorders>
              <w:top w:color="000000" w:space="0" w:sz="8" w:val="single"/>
              <w:left w:color="000000" w:space="0" w:sz="8" w:val="single"/>
              <w:bottom w:color="adadad" w:space="0" w:sz="4" w:val="single"/>
              <w:right w:color="000000" w:space="0" w:sz="8" w:val="single"/>
            </w:tcBorders>
          </w:tcPr>
          <w:p w:rsidR="00000000" w:rsidDel="00000000" w:rsidP="00000000" w:rsidRDefault="00000000" w:rsidRPr="00000000" w14:paraId="0000009E">
            <w:pPr>
              <w:rPr/>
            </w:pPr>
            <w:r w:rsidDel="00000000" w:rsidR="00000000" w:rsidRPr="00000000">
              <w:rPr>
                <w:rtl w:val="0"/>
              </w:rPr>
              <w:t xml:space="preserve">$28,352.30</w:t>
            </w:r>
          </w:p>
        </w:tc>
      </w:tr>
      <w:tr>
        <w:trPr>
          <w:cantSplit w:val="0"/>
          <w:trHeight w:val="770" w:hRule="atLeast"/>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9F">
            <w:pPr>
              <w:rPr/>
            </w:pPr>
            <w:r w:rsidDel="00000000" w:rsidR="00000000" w:rsidRPr="00000000">
              <w:rPr>
                <w:rtl w:val="0"/>
              </w:rPr>
              <w:t xml:space="preserve">Workstation</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A0">
            <w:pPr>
              <w:widowControl w:val="0"/>
              <w:rPr/>
            </w:pPr>
            <w:r w:rsidDel="00000000" w:rsidR="00000000" w:rsidRPr="00000000">
              <w:rPr>
                <w:rtl w:val="0"/>
              </w:rPr>
              <w:t xml:space="preserve">Alienware Desktop - RTX 5090</w:t>
            </w:r>
          </w:p>
        </w:tc>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A1">
            <w:pPr>
              <w:rPr/>
            </w:pPr>
            <w:r w:rsidDel="00000000" w:rsidR="00000000" w:rsidRPr="00000000">
              <w:rPr>
                <w:rtl w:val="0"/>
              </w:rPr>
              <w:t xml:space="preserve">1</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A2">
            <w:pPr>
              <w:widowControl w:val="0"/>
              <w:rPr/>
            </w:pPr>
            <w:r w:rsidDel="00000000" w:rsidR="00000000" w:rsidRPr="00000000">
              <w:rPr>
                <w:rtl w:val="0"/>
              </w:rPr>
              <w:t xml:space="preserve">$6,849.99</w:t>
            </w:r>
          </w:p>
        </w:tc>
        <w:tc>
          <w:tcPr>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A3">
            <w:pPr>
              <w:rPr/>
            </w:pPr>
            <w:r w:rsidDel="00000000" w:rsidR="00000000" w:rsidRPr="00000000">
              <w:rPr>
                <w:rtl w:val="0"/>
              </w:rPr>
              <w:t xml:space="preserve">$6,849.99</w:t>
            </w:r>
          </w:p>
        </w:tc>
      </w:tr>
      <w:tr>
        <w:trPr>
          <w:cantSplit w:val="0"/>
          <w:trHeight w:val="645" w:hRule="atLeast"/>
          <w:tblHeader w:val="0"/>
        </w:trPr>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A4">
            <w:pPr>
              <w:rPr/>
            </w:pPr>
            <w:r w:rsidDel="00000000" w:rsidR="00000000" w:rsidRPr="00000000">
              <w:rPr>
                <w:rtl w:val="0"/>
              </w:rPr>
              <w:t xml:space="preserve">Workstation</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A5">
            <w:pPr>
              <w:widowControl w:val="0"/>
              <w:rPr/>
            </w:pPr>
            <w:r w:rsidDel="00000000" w:rsidR="00000000" w:rsidRPr="00000000">
              <w:rPr>
                <w:rtl w:val="0"/>
              </w:rPr>
              <w:t xml:space="preserve">NVIDIA DGX Spark </w:t>
            </w:r>
          </w:p>
        </w:tc>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A6">
            <w:pPr>
              <w:rPr/>
            </w:pPr>
            <w:r w:rsidDel="00000000" w:rsidR="00000000" w:rsidRPr="00000000">
              <w:rPr>
                <w:rtl w:val="0"/>
              </w:rPr>
              <w:t xml:space="preserve">1</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A7">
            <w:pPr>
              <w:widowControl w:val="0"/>
              <w:rPr/>
            </w:pPr>
            <w:r w:rsidDel="00000000" w:rsidR="00000000" w:rsidRPr="00000000">
              <w:rPr>
                <w:rtl w:val="0"/>
              </w:rPr>
              <w:t xml:space="preserve">$4,699.99</w:t>
            </w:r>
          </w:p>
        </w:tc>
        <w:tc>
          <w:tcPr>
            <w:tcBorders>
              <w:top w:color="adadad" w:space="0" w:sz="4" w:val="single"/>
              <w:left w:color="000000" w:space="0" w:sz="8" w:val="single"/>
              <w:bottom w:color="000000" w:space="0" w:sz="8" w:val="single"/>
              <w:right w:color="000000" w:space="0" w:sz="8" w:val="single"/>
            </w:tcBorders>
          </w:tcPr>
          <w:p w:rsidR="00000000" w:rsidDel="00000000" w:rsidP="00000000" w:rsidRDefault="00000000" w:rsidRPr="00000000" w14:paraId="000000A8">
            <w:pPr>
              <w:rPr/>
            </w:pPr>
            <w:r w:rsidDel="00000000" w:rsidR="00000000" w:rsidRPr="00000000">
              <w:rPr>
                <w:rtl w:val="0"/>
              </w:rPr>
              <w:t xml:space="preserve">$4,699.99</w:t>
            </w:r>
          </w:p>
        </w:tc>
      </w:tr>
      <w:tr>
        <w:trPr>
          <w:cantSplit w:val="0"/>
          <w:tblHeader w:val="0"/>
        </w:trPr>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A9">
            <w:pPr>
              <w:rPr/>
            </w:pPr>
            <w:r w:rsidDel="00000000" w:rsidR="00000000" w:rsidRPr="00000000">
              <w:rPr>
                <w:rtl w:val="0"/>
              </w:rPr>
              <w:t xml:space="preserve">Peripherals</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AA">
            <w:pPr>
              <w:rPr/>
            </w:pPr>
            <w:r w:rsidDel="00000000" w:rsidR="00000000" w:rsidRPr="00000000">
              <w:rPr>
                <w:rtl w:val="0"/>
              </w:rPr>
              <w:t xml:space="preserve">ThinkCentre</w:t>
            </w:r>
          </w:p>
        </w:tc>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AB">
            <w:pPr>
              <w:rPr/>
            </w:pPr>
            <w:r w:rsidDel="00000000" w:rsidR="00000000" w:rsidRPr="00000000">
              <w:rPr>
                <w:rtl w:val="0"/>
              </w:rPr>
              <w:t xml:space="preserve">1</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AC">
            <w:pPr>
              <w:rPr/>
            </w:pPr>
            <w:r w:rsidDel="00000000" w:rsidR="00000000" w:rsidRPr="00000000">
              <w:rPr>
                <w:rtl w:val="0"/>
              </w:rPr>
              <w:t xml:space="preserve">$759.00</w:t>
            </w:r>
          </w:p>
        </w:tc>
        <w:tc>
          <w:tcPr>
            <w:tcBorders>
              <w:top w:color="000000" w:space="0" w:sz="8" w:val="single"/>
              <w:left w:color="000000" w:space="0" w:sz="8" w:val="single"/>
              <w:bottom w:color="adadad" w:space="0" w:sz="4" w:val="single"/>
              <w:right w:color="000000" w:space="0" w:sz="8" w:val="single"/>
            </w:tcBorders>
          </w:tcPr>
          <w:p w:rsidR="00000000" w:rsidDel="00000000" w:rsidP="00000000" w:rsidRDefault="00000000" w:rsidRPr="00000000" w14:paraId="000000AD">
            <w:pPr>
              <w:rPr/>
            </w:pPr>
            <w:r w:rsidDel="00000000" w:rsidR="00000000" w:rsidRPr="00000000">
              <w:rPr>
                <w:rtl w:val="0"/>
              </w:rPr>
              <w:t xml:space="preserve">$759.00</w:t>
            </w:r>
          </w:p>
        </w:tc>
      </w:tr>
      <w:tr>
        <w:trPr>
          <w:cantSplit w:val="0"/>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AE">
            <w:pPr>
              <w:rPr/>
            </w:pPr>
            <w:r w:rsidDel="00000000" w:rsidR="00000000" w:rsidRPr="00000000">
              <w:rPr>
                <w:rtl w:val="0"/>
              </w:rPr>
              <w:t xml:space="preserve">Peripherals</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AF">
            <w:pPr>
              <w:widowControl w:val="0"/>
              <w:rPr/>
            </w:pPr>
            <w:r w:rsidDel="00000000" w:rsidR="00000000" w:rsidRPr="00000000">
              <w:rPr>
                <w:rtl w:val="0"/>
              </w:rPr>
              <w:t xml:space="preserve">Alienware Monitor</w:t>
            </w:r>
          </w:p>
        </w:tc>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B0">
            <w:pPr>
              <w:rPr/>
            </w:pPr>
            <w:r w:rsidDel="00000000" w:rsidR="00000000" w:rsidRPr="00000000">
              <w:rPr>
                <w:rtl w:val="0"/>
              </w:rPr>
              <w:t xml:space="preserve">4</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B1">
            <w:pPr>
              <w:widowControl w:val="0"/>
              <w:rPr/>
            </w:pPr>
            <w:r w:rsidDel="00000000" w:rsidR="00000000" w:rsidRPr="00000000">
              <w:rPr>
                <w:rtl w:val="0"/>
              </w:rPr>
              <w:t xml:space="preserve">$349.99</w:t>
            </w:r>
          </w:p>
        </w:tc>
        <w:tc>
          <w:tcPr>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B2">
            <w:pPr>
              <w:rPr/>
            </w:pPr>
            <w:r w:rsidDel="00000000" w:rsidR="00000000" w:rsidRPr="00000000">
              <w:rPr>
                <w:rtl w:val="0"/>
              </w:rPr>
              <w:t xml:space="preserve">$1,399.96</w:t>
            </w:r>
          </w:p>
        </w:tc>
      </w:tr>
      <w:tr>
        <w:trPr>
          <w:cantSplit w:val="0"/>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B3">
            <w:pPr>
              <w:rPr/>
            </w:pPr>
            <w:r w:rsidDel="00000000" w:rsidR="00000000" w:rsidRPr="00000000">
              <w:rPr>
                <w:rtl w:val="0"/>
              </w:rPr>
              <w:t xml:space="preserve">Peripherals</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B4">
            <w:pPr>
              <w:rPr/>
            </w:pPr>
            <w:r w:rsidDel="00000000" w:rsidR="00000000" w:rsidRPr="00000000">
              <w:rPr>
                <w:rtl w:val="0"/>
              </w:rPr>
              <w:t xml:space="preserve">Dell Keyboard</w:t>
            </w:r>
          </w:p>
        </w:tc>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B5">
            <w:pPr>
              <w:rPr/>
            </w:pPr>
            <w:r w:rsidDel="00000000" w:rsidR="00000000" w:rsidRPr="00000000">
              <w:rPr>
                <w:rtl w:val="0"/>
              </w:rPr>
              <w:t xml:space="preserve">4</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B6">
            <w:pPr>
              <w:widowControl w:val="0"/>
              <w:rPr/>
            </w:pPr>
            <w:r w:rsidDel="00000000" w:rsidR="00000000" w:rsidRPr="00000000">
              <w:rPr>
                <w:rtl w:val="0"/>
              </w:rPr>
              <w:t xml:space="preserve">$12.95</w:t>
            </w:r>
          </w:p>
        </w:tc>
        <w:tc>
          <w:tcPr>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B7">
            <w:pPr>
              <w:rPr/>
            </w:pPr>
            <w:r w:rsidDel="00000000" w:rsidR="00000000" w:rsidRPr="00000000">
              <w:rPr>
                <w:rtl w:val="0"/>
              </w:rPr>
              <w:t xml:space="preserve">$51.80</w:t>
            </w:r>
          </w:p>
        </w:tc>
      </w:tr>
      <w:tr>
        <w:trPr>
          <w:cantSplit w:val="0"/>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B8">
            <w:pPr>
              <w:rPr/>
            </w:pPr>
            <w:r w:rsidDel="00000000" w:rsidR="00000000" w:rsidRPr="00000000">
              <w:rPr>
                <w:rtl w:val="0"/>
              </w:rPr>
              <w:t xml:space="preserve">Peripherals</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B9">
            <w:pPr>
              <w:widowControl w:val="0"/>
              <w:rPr/>
            </w:pPr>
            <w:r w:rsidDel="00000000" w:rsidR="00000000" w:rsidRPr="00000000">
              <w:rPr>
                <w:rtl w:val="0"/>
              </w:rPr>
              <w:t xml:space="preserve">Dell Optical Mouse</w:t>
            </w:r>
          </w:p>
        </w:tc>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BA">
            <w:pPr>
              <w:rPr/>
            </w:pPr>
            <w:r w:rsidDel="00000000" w:rsidR="00000000" w:rsidRPr="00000000">
              <w:rPr>
                <w:rtl w:val="0"/>
              </w:rPr>
              <w:t xml:space="preserve">4</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BB">
            <w:pPr>
              <w:widowControl w:val="0"/>
              <w:rPr/>
            </w:pPr>
            <w:r w:rsidDel="00000000" w:rsidR="00000000" w:rsidRPr="00000000">
              <w:rPr>
                <w:rtl w:val="0"/>
              </w:rPr>
              <w:t xml:space="preserve">$8.29</w:t>
            </w:r>
          </w:p>
        </w:tc>
        <w:tc>
          <w:tcPr>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BC">
            <w:pPr>
              <w:rPr/>
            </w:pPr>
            <w:r w:rsidDel="00000000" w:rsidR="00000000" w:rsidRPr="00000000">
              <w:rPr>
                <w:rtl w:val="0"/>
              </w:rPr>
              <w:t xml:space="preserve">$33.16</w:t>
            </w:r>
          </w:p>
        </w:tc>
      </w:tr>
      <w:tr>
        <w:trPr>
          <w:cantSplit w:val="0"/>
          <w:tblHeader w:val="0"/>
        </w:trPr>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BD">
            <w:pPr>
              <w:rPr/>
            </w:pPr>
            <w:r w:rsidDel="00000000" w:rsidR="00000000" w:rsidRPr="00000000">
              <w:rPr>
                <w:rtl w:val="0"/>
              </w:rPr>
              <w:t xml:space="preserve">Peripherals</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BE">
            <w:pPr>
              <w:rPr/>
            </w:pPr>
            <w:r w:rsidDel="00000000" w:rsidR="00000000" w:rsidRPr="00000000">
              <w:rPr>
                <w:rtl w:val="0"/>
              </w:rPr>
              <w:t xml:space="preserve">Cabling</w:t>
            </w:r>
          </w:p>
        </w:tc>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BF">
            <w:pPr>
              <w:rPr/>
            </w:pPr>
            <w:r w:rsidDel="00000000" w:rsidR="00000000" w:rsidRPr="00000000">
              <w:rPr>
                <w:rtl w:val="0"/>
              </w:rPr>
              <w:t xml:space="preserve">4</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C0">
            <w:pPr>
              <w:widowControl w:val="0"/>
              <w:rPr/>
            </w:pPr>
            <w:r w:rsidDel="00000000" w:rsidR="00000000" w:rsidRPr="00000000">
              <w:rPr>
                <w:rtl w:val="0"/>
              </w:rPr>
              <w:t xml:space="preserve">$9.99</w:t>
            </w:r>
          </w:p>
        </w:tc>
        <w:tc>
          <w:tcPr>
            <w:tcBorders>
              <w:top w:color="adadad" w:space="0" w:sz="4" w:val="single"/>
              <w:left w:color="000000" w:space="0" w:sz="8" w:val="single"/>
              <w:bottom w:color="000000" w:space="0" w:sz="8" w:val="single"/>
              <w:right w:color="000000" w:space="0" w:sz="8" w:val="single"/>
            </w:tcBorders>
          </w:tcPr>
          <w:p w:rsidR="00000000" w:rsidDel="00000000" w:rsidP="00000000" w:rsidRDefault="00000000" w:rsidRPr="00000000" w14:paraId="000000C1">
            <w:pPr>
              <w:rPr/>
            </w:pPr>
            <w:r w:rsidDel="00000000" w:rsidR="00000000" w:rsidRPr="00000000">
              <w:rPr>
                <w:rtl w:val="0"/>
              </w:rPr>
              <w:t xml:space="preserve">$39.96</w:t>
            </w:r>
          </w:p>
        </w:tc>
      </w:tr>
      <w:tr>
        <w:trPr>
          <w:cantSplit w:val="0"/>
          <w:tblHeader w:val="0"/>
        </w:trPr>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C2">
            <w:pPr>
              <w:rPr/>
            </w:pPr>
            <w:r w:rsidDel="00000000" w:rsidR="00000000" w:rsidRPr="00000000">
              <w:rPr>
                <w:rtl w:val="0"/>
              </w:rPr>
              <w:t xml:space="preserve">Facilities</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C3">
            <w:pPr>
              <w:widowControl w:val="0"/>
              <w:rPr/>
            </w:pPr>
            <w:r w:rsidDel="00000000" w:rsidR="00000000" w:rsidRPr="00000000">
              <w:rPr>
                <w:rtl w:val="0"/>
              </w:rPr>
              <w:t xml:space="preserve">Furniture Estimate **</w:t>
            </w:r>
          </w:p>
        </w:tc>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C4">
            <w:pPr>
              <w:rPr/>
            </w:pPr>
            <w:r w:rsidDel="00000000" w:rsidR="00000000" w:rsidRPr="00000000">
              <w:rPr>
                <w:rtl w:val="0"/>
              </w:rPr>
              <w:t xml:space="preserve">1</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C5">
            <w:pPr>
              <w:rPr/>
            </w:pPr>
            <w:r w:rsidDel="00000000" w:rsidR="00000000" w:rsidRPr="00000000">
              <w:rPr>
                <w:rtl w:val="0"/>
              </w:rPr>
              <w:t xml:space="preserve">$10,000.00</w:t>
            </w:r>
          </w:p>
        </w:tc>
        <w:tc>
          <w:tcPr>
            <w:tcBorders>
              <w:top w:color="000000" w:space="0" w:sz="8" w:val="single"/>
              <w:left w:color="000000" w:space="0" w:sz="8" w:val="single"/>
              <w:bottom w:color="adadad" w:space="0" w:sz="4" w:val="single"/>
              <w:right w:color="000000" w:space="0" w:sz="8" w:val="single"/>
            </w:tcBorders>
          </w:tcPr>
          <w:p w:rsidR="00000000" w:rsidDel="00000000" w:rsidP="00000000" w:rsidRDefault="00000000" w:rsidRPr="00000000" w14:paraId="000000C6">
            <w:pPr>
              <w:rPr/>
            </w:pPr>
            <w:r w:rsidDel="00000000" w:rsidR="00000000" w:rsidRPr="00000000">
              <w:rPr>
                <w:rtl w:val="0"/>
              </w:rPr>
              <w:t xml:space="preserve">$10,000.00</w:t>
            </w:r>
          </w:p>
        </w:tc>
      </w:tr>
      <w:tr>
        <w:trPr>
          <w:cantSplit w:val="0"/>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C7">
            <w:pPr>
              <w:rPr/>
            </w:pPr>
            <w:r w:rsidDel="00000000" w:rsidR="00000000" w:rsidRPr="00000000">
              <w:rPr>
                <w:rtl w:val="0"/>
              </w:rPr>
              <w:t xml:space="preserve">Facilities</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C8">
            <w:pPr>
              <w:widowControl w:val="0"/>
              <w:rPr/>
            </w:pPr>
            <w:r w:rsidDel="00000000" w:rsidR="00000000" w:rsidRPr="00000000">
              <w:rPr>
                <w:rtl w:val="0"/>
              </w:rPr>
              <w:t xml:space="preserve">Ethernet Estimate **</w:t>
            </w:r>
          </w:p>
        </w:tc>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C9">
            <w:pPr>
              <w:rPr/>
            </w:pPr>
            <w:r w:rsidDel="00000000" w:rsidR="00000000" w:rsidRPr="00000000">
              <w:rPr>
                <w:rtl w:val="0"/>
              </w:rPr>
              <w:t xml:space="preserve">1</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CA">
            <w:pPr>
              <w:rPr/>
            </w:pPr>
            <w:r w:rsidDel="00000000" w:rsidR="00000000" w:rsidRPr="00000000">
              <w:rPr>
                <w:rtl w:val="0"/>
              </w:rPr>
              <w:t xml:space="preserve">$2,500.00</w:t>
            </w:r>
          </w:p>
        </w:tc>
        <w:tc>
          <w:tcPr>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CB">
            <w:pPr>
              <w:rPr/>
            </w:pPr>
            <w:r w:rsidDel="00000000" w:rsidR="00000000" w:rsidRPr="00000000">
              <w:rPr>
                <w:rtl w:val="0"/>
              </w:rPr>
              <w:t xml:space="preserve">$2,500.00</w:t>
            </w:r>
          </w:p>
        </w:tc>
      </w:tr>
      <w:tr>
        <w:trPr>
          <w:cantSplit w:val="0"/>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CC">
            <w:pPr>
              <w:rPr/>
            </w:pPr>
            <w:r w:rsidDel="00000000" w:rsidR="00000000" w:rsidRPr="00000000">
              <w:rPr>
                <w:rtl w:val="0"/>
              </w:rPr>
              <w:t xml:space="preserve">Facilities</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CD">
            <w:pPr>
              <w:widowControl w:val="0"/>
              <w:rPr/>
            </w:pPr>
            <w:r w:rsidDel="00000000" w:rsidR="00000000" w:rsidRPr="00000000">
              <w:rPr>
                <w:rtl w:val="0"/>
              </w:rPr>
              <w:t xml:space="preserve">Carpet Estimate **</w:t>
            </w:r>
          </w:p>
        </w:tc>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CE">
            <w:pPr>
              <w:rPr/>
            </w:pPr>
            <w:r w:rsidDel="00000000" w:rsidR="00000000" w:rsidRPr="00000000">
              <w:rPr>
                <w:rtl w:val="0"/>
              </w:rPr>
              <w:t xml:space="preserve">1</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CF">
            <w:pPr>
              <w:rPr/>
            </w:pPr>
            <w:r w:rsidDel="00000000" w:rsidR="00000000" w:rsidRPr="00000000">
              <w:rPr>
                <w:rtl w:val="0"/>
              </w:rPr>
              <w:t xml:space="preserve">$10,000.00</w:t>
            </w:r>
          </w:p>
        </w:tc>
        <w:tc>
          <w:tcPr>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D0">
            <w:pPr>
              <w:rPr/>
            </w:pPr>
            <w:r w:rsidDel="00000000" w:rsidR="00000000" w:rsidRPr="00000000">
              <w:rPr>
                <w:rtl w:val="0"/>
              </w:rPr>
              <w:t xml:space="preserve">$10,000.00</w:t>
            </w:r>
          </w:p>
        </w:tc>
      </w:tr>
      <w:tr>
        <w:trPr>
          <w:cantSplit w:val="0"/>
          <w:tblHeader w:val="0"/>
        </w:trPr>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D1">
            <w:pPr>
              <w:rPr/>
            </w:pPr>
            <w:r w:rsidDel="00000000" w:rsidR="00000000" w:rsidRPr="00000000">
              <w:rPr>
                <w:rtl w:val="0"/>
              </w:rPr>
              <w:t xml:space="preserve">Facilities</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D2">
            <w:pPr>
              <w:widowControl w:val="0"/>
              <w:rPr/>
            </w:pPr>
            <w:r w:rsidDel="00000000" w:rsidR="00000000" w:rsidRPr="00000000">
              <w:rPr>
                <w:rtl w:val="0"/>
              </w:rPr>
              <w:t xml:space="preserve">Security Camera Estimate **</w:t>
            </w:r>
          </w:p>
        </w:tc>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D3">
            <w:pPr>
              <w:rPr/>
            </w:pPr>
            <w:r w:rsidDel="00000000" w:rsidR="00000000" w:rsidRPr="00000000">
              <w:rPr>
                <w:rtl w:val="0"/>
              </w:rPr>
              <w:t xml:space="preserve">2</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D4">
            <w:pPr>
              <w:rPr/>
            </w:pPr>
            <w:r w:rsidDel="00000000" w:rsidR="00000000" w:rsidRPr="00000000">
              <w:rPr>
                <w:rtl w:val="0"/>
              </w:rPr>
              <w:t xml:space="preserve"> $750.00</w:t>
            </w:r>
          </w:p>
        </w:tc>
        <w:tc>
          <w:tcPr>
            <w:tcBorders>
              <w:top w:color="adadad" w:space="0" w:sz="4"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$1,500.00</w:t>
            </w:r>
          </w:p>
        </w:tc>
      </w:tr>
      <w:tr>
        <w:trPr>
          <w:cantSplit w:val="0"/>
          <w:tblHeader w:val="0"/>
        </w:trPr>
        <w:tc>
          <w:tcPr>
            <w:tcBorders>
              <w:top w:color="000000" w:space="0" w:sz="8" w:val="single"/>
              <w:left w:color="000000" w:space="0" w:sz="8" w:val="single"/>
              <w:bottom w:color="adadad" w:space="0" w:sz="4" w:val="single"/>
              <w:right w:color="adadad" w:space="0" w:sz="4" w:val="single"/>
            </w:tcBorders>
          </w:tcPr>
          <w:p w:rsidR="00000000" w:rsidDel="00000000" w:rsidP="00000000" w:rsidRDefault="00000000" w:rsidRPr="00000000" w14:paraId="000000D6">
            <w:pPr>
              <w:rPr/>
            </w:pPr>
            <w:r w:rsidDel="00000000" w:rsidR="00000000" w:rsidRPr="00000000">
              <w:rPr>
                <w:rtl w:val="0"/>
              </w:rPr>
              <w:t xml:space="preserve"> </w:t>
            </w:r>
          </w:p>
        </w:tc>
        <w:tc>
          <w:tcPr>
            <w:tcBorders>
              <w:top w:color="000000" w:space="0" w:sz="8" w:val="single"/>
              <w:left w:color="adadad" w:space="0" w:sz="4" w:val="single"/>
              <w:bottom w:color="adadad" w:space="0" w:sz="4" w:val="single"/>
              <w:right w:color="000000" w:space="0" w:sz="8" w:val="single"/>
            </w:tcBorders>
          </w:tcPr>
          <w:p w:rsidR="00000000" w:rsidDel="00000000" w:rsidP="00000000" w:rsidRDefault="00000000" w:rsidRPr="00000000" w14:paraId="000000D7">
            <w:pPr>
              <w:rPr/>
            </w:pPr>
            <w:r w:rsidDel="00000000" w:rsidR="00000000" w:rsidRPr="00000000">
              <w:rPr>
                <w:rtl w:val="0"/>
              </w:rPr>
              <w:t xml:space="preserve"> </w:t>
            </w:r>
          </w:p>
        </w:tc>
        <w:tc>
          <w:tcPr>
            <w:gridSpan w:val="2"/>
            <w:tcBorders>
              <w:top w:color="000000" w:space="0" w:sz="8" w:val="single"/>
              <w:left w:color="000000" w:space="0" w:sz="8" w:val="single"/>
              <w:bottom w:color="adadad" w:space="0" w:sz="4" w:val="single"/>
              <w:right w:color="000000" w:space="0" w:sz="8" w:val="single"/>
            </w:tcBorders>
          </w:tcPr>
          <w:p w:rsidR="00000000" w:rsidDel="00000000" w:rsidP="00000000" w:rsidRDefault="00000000" w:rsidRPr="00000000" w14:paraId="000000D8">
            <w:pPr>
              <w:rPr>
                <w:b w:val="1"/>
                <w:bCs w:val="1"/>
              </w:rPr>
            </w:pPr>
            <w:r w:rsidDel="00000000" w:rsidR="00000000" w:rsidRPr="00000000">
              <w:rPr>
                <w:b w:val="1"/>
                <w:bCs w:val="1"/>
                <w:rtl w:val="0"/>
              </w:rPr>
              <w:t xml:space="preserve">Total Before Tax</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$66,186.16</w:t>
            </w:r>
          </w:p>
        </w:tc>
      </w:tr>
      <w:tr>
        <w:trPr>
          <w:cantSplit w:val="0"/>
          <w:tblHeader w:val="0"/>
        </w:trPr>
        <w:tc>
          <w:tcPr>
            <w:tcBorders>
              <w:top w:color="adadad" w:space="0" w:sz="4" w:val="single"/>
              <w:left w:color="000000" w:space="0" w:sz="8" w:val="single"/>
              <w:bottom w:color="adadad" w:space="0" w:sz="4" w:val="single"/>
              <w:right w:color="adadad" w:space="0" w:sz="4" w:val="single"/>
            </w:tcBorders>
          </w:tcPr>
          <w:p w:rsidR="00000000" w:rsidDel="00000000" w:rsidP="00000000" w:rsidRDefault="00000000" w:rsidRPr="00000000" w14:paraId="000000DB">
            <w:pPr>
              <w:rPr/>
            </w:pPr>
            <w:r w:rsidDel="00000000" w:rsidR="00000000" w:rsidRPr="00000000">
              <w:rPr>
                <w:rtl w:val="0"/>
              </w:rPr>
              <w:t xml:space="preserve"> </w:t>
            </w:r>
          </w:p>
        </w:tc>
        <w:tc>
          <w:tcPr>
            <w:tcBorders>
              <w:top w:color="adadad" w:space="0" w:sz="4" w:val="single"/>
              <w:left w:color="adadad" w:space="0" w:sz="4" w:val="single"/>
              <w:bottom w:color="adadad" w:space="0" w:sz="4" w:val="single"/>
              <w:right w:color="000000" w:space="0" w:sz="8" w:val="single"/>
            </w:tcBorders>
          </w:tcPr>
          <w:p w:rsidR="00000000" w:rsidDel="00000000" w:rsidP="00000000" w:rsidRDefault="00000000" w:rsidRPr="00000000" w14:paraId="000000DC">
            <w:pPr>
              <w:rPr/>
            </w:pPr>
            <w:r w:rsidDel="00000000" w:rsidR="00000000" w:rsidRPr="00000000">
              <w:rPr>
                <w:rtl w:val="0"/>
              </w:rPr>
              <w:t xml:space="preserve"> </w:t>
            </w:r>
          </w:p>
        </w:tc>
        <w:tc>
          <w:tcPr>
            <w:gridSpan w:val="2"/>
            <w:tcBorders>
              <w:top w:color="adadad" w:space="0" w:sz="4" w:val="single"/>
              <w:left w:color="000000" w:space="0" w:sz="8" w:val="single"/>
              <w:bottom w:color="adadad" w:space="0" w:sz="4" w:val="single"/>
              <w:right w:color="000000" w:space="0" w:sz="8" w:val="single"/>
            </w:tcBorders>
          </w:tcPr>
          <w:p w:rsidR="00000000" w:rsidDel="00000000" w:rsidP="00000000" w:rsidRDefault="00000000" w:rsidRPr="00000000" w14:paraId="000000DD">
            <w:pPr>
              <w:rPr>
                <w:b w:val="1"/>
                <w:bCs w:val="1"/>
              </w:rPr>
            </w:pPr>
            <w:r w:rsidDel="00000000" w:rsidR="00000000" w:rsidRPr="00000000">
              <w:rPr>
                <w:b w:val="1"/>
                <w:bCs w:val="1"/>
                <w:rtl w:val="0"/>
              </w:rPr>
              <w:t xml:space="preserve">Estimated Tax (10%)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$6,618.62</w:t>
            </w:r>
          </w:p>
        </w:tc>
      </w:tr>
      <w:tr>
        <w:trPr>
          <w:cantSplit w:val="0"/>
          <w:tblHeader w:val="0"/>
        </w:trPr>
        <w:tc>
          <w:tcPr>
            <w:tcBorders>
              <w:top w:color="adadad" w:space="0" w:sz="4" w:val="single"/>
              <w:left w:color="000000" w:space="0" w:sz="8" w:val="single"/>
              <w:bottom w:color="000000" w:space="0" w:sz="8" w:val="single"/>
              <w:right w:color="adadad" w:space="0" w:sz="4" w:val="single"/>
            </w:tcBorders>
          </w:tcPr>
          <w:p w:rsidR="00000000" w:rsidDel="00000000" w:rsidP="00000000" w:rsidRDefault="00000000" w:rsidRPr="00000000" w14:paraId="000000E0">
            <w:pPr>
              <w:rPr/>
            </w:pPr>
            <w:r w:rsidDel="00000000" w:rsidR="00000000" w:rsidRPr="00000000">
              <w:rPr>
                <w:rtl w:val="0"/>
              </w:rPr>
              <w:t xml:space="preserve"> </w:t>
            </w:r>
          </w:p>
        </w:tc>
        <w:tc>
          <w:tcPr>
            <w:tcBorders>
              <w:top w:color="adadad" w:space="0" w:sz="4" w:val="single"/>
              <w:left w:color="adadad" w:space="0" w:sz="4" w:val="single"/>
              <w:bottom w:color="000000" w:space="0" w:sz="8" w:val="single"/>
              <w:right w:color="000000" w:space="0" w:sz="8" w:val="single"/>
            </w:tcBorders>
          </w:tcPr>
          <w:p w:rsidR="00000000" w:rsidDel="00000000" w:rsidP="00000000" w:rsidRDefault="00000000" w:rsidRPr="00000000" w14:paraId="000000E1">
            <w:pPr>
              <w:rPr/>
            </w:pPr>
            <w:r w:rsidDel="00000000" w:rsidR="00000000" w:rsidRPr="00000000">
              <w:rPr>
                <w:rtl w:val="0"/>
              </w:rPr>
              <w:t xml:space="preserve"> </w:t>
            </w:r>
          </w:p>
        </w:tc>
        <w:tc>
          <w:tcPr>
            <w:gridSpan w:val="2"/>
            <w:tcBorders>
              <w:top w:color="adadad" w:space="0" w:sz="4" w:val="single"/>
              <w:left w:color="000000" w:space="0" w:sz="8" w:val="single"/>
              <w:bottom w:color="000000" w:space="0" w:sz="8" w:val="single"/>
              <w:right w:color="000000" w:space="0" w:sz="8" w:val="single"/>
            </w:tcBorders>
          </w:tcPr>
          <w:p w:rsidR="00000000" w:rsidDel="00000000" w:rsidP="00000000" w:rsidRDefault="00000000" w:rsidRPr="00000000" w14:paraId="000000E2">
            <w:pPr>
              <w:rPr>
                <w:b w:val="1"/>
                <w:bCs w:val="1"/>
              </w:rPr>
            </w:pPr>
            <w:r w:rsidDel="00000000" w:rsidR="00000000" w:rsidRPr="00000000">
              <w:rPr>
                <w:b w:val="1"/>
                <w:bCs w:val="1"/>
                <w:rtl w:val="0"/>
              </w:rPr>
              <w:t xml:space="preserve">Total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rPr>
                <w:b w:val="1"/>
                <w:bCs w:val="1"/>
              </w:rPr>
            </w:pPr>
            <w:r w:rsidDel="00000000" w:rsidR="00000000" w:rsidRPr="00000000">
              <w:rPr>
                <w:b w:val="1"/>
                <w:bCs w:val="1"/>
                <w:rtl w:val="0"/>
              </w:rPr>
              <w:t xml:space="preserve">$72,804.78</w:t>
            </w:r>
          </w:p>
        </w:tc>
      </w:tr>
    </w:tbl>
    <w:p w:rsidR="00000000" w:rsidDel="00000000" w:rsidP="00000000" w:rsidRDefault="00000000" w:rsidRPr="00000000" w14:paraId="000000E5">
      <w:pPr>
        <w:rPr>
          <w:highlight w:val="yellow"/>
        </w:rPr>
      </w:pPr>
      <w:r w:rsidDel="00000000" w:rsidR="00000000" w:rsidRPr="00000000">
        <w:rPr>
          <w:rtl w:val="0"/>
        </w:rPr>
      </w:r>
    </w:p>
    <w:p w:rsidR="00000000" w:rsidDel="00000000" w:rsidP="00000000" w:rsidRDefault="00000000" w:rsidRPr="00000000" w14:paraId="000000E6">
      <w:pPr>
        <w:rPr>
          <w:highlight w:val="yellow"/>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 Hardware prices as of April 29, 2026</w:t>
      </w:r>
    </w:p>
    <w:p w:rsidR="00000000" w:rsidDel="00000000" w:rsidP="00000000" w:rsidRDefault="00000000" w:rsidRPr="00000000" w14:paraId="000000E8">
      <w:pPr>
        <w:pStyle w:val="Heading1"/>
        <w:rPr/>
      </w:pPr>
      <w:bookmarkStart w:colFirst="0" w:colLast="0" w:name="_468jnu8ktgvn" w:id="17"/>
      <w:bookmarkEnd w:id="17"/>
      <w:r w:rsidDel="00000000" w:rsidR="00000000" w:rsidRPr="00000000">
        <w:rPr>
          <w:rtl w:val="0"/>
        </w:rPr>
        <w:t xml:space="preserve">** Note: Estimates for furniture and electrical/network port installations are based on past project costs. Formal quotes from Facilities are currently in progress, and furniture quotes will be requested once the room assignment is confirmed.</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1"/>
        <w:rPr/>
      </w:pPr>
      <w:bookmarkStart w:colFirst="0" w:colLast="0" w:name="_cij3clounlqg" w:id="18"/>
      <w:bookmarkEnd w:id="18"/>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1"/>
        <w:rPr/>
      </w:pPr>
      <w:bookmarkStart w:colFirst="0" w:colLast="0" w:name="_mq8qwiqq44ji" w:id="19"/>
      <w:bookmarkEnd w:id="19"/>
      <w:r w:rsidDel="00000000" w:rsidR="00000000" w:rsidRPr="00000000">
        <w:rPr>
          <w:rtl w:val="0"/>
        </w:rPr>
        <w:t xml:space="preserve">Budget Tier Option 3: AI Baseline for the STAR Lab (minimal configuration)</w:t>
      </w:r>
    </w:p>
    <w:p w:rsidR="00000000" w:rsidDel="00000000" w:rsidP="00000000" w:rsidRDefault="00000000" w:rsidRPr="00000000" w14:paraId="000000ED">
      <w:pPr>
        <w:rPr/>
      </w:pPr>
      <w:r w:rsidDel="00000000" w:rsidR="00000000" w:rsidRPr="00000000">
        <w:rPr>
          <w:rtl w:val="0"/>
        </w:rPr>
        <w:t xml:space="preserve">This budget establishes a foundational AI research capability within the existing STAR Lab (Room 147) by adding </w:t>
      </w:r>
      <w:r w:rsidDel="00000000" w:rsidR="00000000" w:rsidRPr="00000000">
        <w:rPr>
          <w:b w:val="1"/>
          <w:bCs w:val="1"/>
          <w:rtl w:val="0"/>
        </w:rPr>
        <w:t xml:space="preserve">two workstations</w:t>
      </w:r>
      <w:r w:rsidDel="00000000" w:rsidR="00000000" w:rsidRPr="00000000">
        <w:rPr>
          <w:rtl w:val="0"/>
        </w:rPr>
        <w:t xml:space="preserve">. This entry-level configuration is designed to provide immediate access to local AI tools, giving researchers a choice between high-speed processing for smaller tasks and medium-speed capacity for larger models. By integrating these units into the current lab, we provide a local alternative to commercial AI subscriptions for a broad range of academic projects.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Hardware Description:</w:t>
      </w:r>
    </w:p>
    <w:p w:rsidR="00000000" w:rsidDel="00000000" w:rsidP="00000000" w:rsidRDefault="00000000" w:rsidRPr="00000000" w14:paraId="000000F0">
      <w:pPr>
        <w:numPr>
          <w:ilvl w:val="0"/>
          <w:numId w:val="6"/>
        </w:numPr>
        <w:ind w:left="720" w:hanging="360"/>
      </w:pPr>
      <w:r w:rsidDel="00000000" w:rsidR="00000000" w:rsidRPr="00000000">
        <w:rPr>
          <w:i w:val="1"/>
          <w:iCs w:val="1"/>
          <w:rtl w:val="0"/>
        </w:rPr>
        <w:t xml:space="preserve">Alienware Desktop (RTX 5090)</w:t>
      </w:r>
      <w:r w:rsidDel="00000000" w:rsidR="00000000" w:rsidRPr="00000000">
        <w:rPr>
          <w:rtl w:val="0"/>
        </w:rPr>
        <w:t xml:space="preserve">: This system is optimized for speed for tasks requiring medium-size models. While it has less memory than a pro-grade unit, its high speed makes it a fast workstation for standard research tasks. As a more cost-effective solution, these are ideal for researchers working with mid-sized models who need to prototype AI applications quickly.</w:t>
      </w:r>
    </w:p>
    <w:p w:rsidR="00000000" w:rsidDel="00000000" w:rsidP="00000000" w:rsidRDefault="00000000" w:rsidRPr="00000000" w14:paraId="000000F1">
      <w:pPr>
        <w:numPr>
          <w:ilvl w:val="0"/>
          <w:numId w:val="6"/>
        </w:numPr>
        <w:ind w:left="720" w:hanging="360"/>
      </w:pPr>
      <w:r w:rsidDel="00000000" w:rsidR="00000000" w:rsidRPr="00000000">
        <w:rPr>
          <w:i w:val="1"/>
          <w:iCs w:val="1"/>
          <w:rtl w:val="0"/>
        </w:rPr>
        <w:t xml:space="preserve">NVIDIA DGX Spark</w:t>
      </w:r>
      <w:r w:rsidDel="00000000" w:rsidR="00000000" w:rsidRPr="00000000">
        <w:rPr>
          <w:rtl w:val="0"/>
        </w:rPr>
        <w:t xml:space="preserve">: This unit has the largest memory capacity, which allows it to host the largest open-source AI models. It operates at a more moderate, mid-range speed compared to the Alienware unit, but it provides the room necessary for data-intensive tasks. It is a cost-effective tool for high-memory needs and provides operating system diversity (Linux). It is ideal for research where a scholar needs to run a large model that would exceed the memory limits of a standard computer. </w:t>
        <w:br w:type="textWrapping"/>
      </w:r>
    </w:p>
    <w:tbl>
      <w:tblPr>
        <w:tblStyle w:val="Table3"/>
        <w:tblW w:w="9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5"/>
        <w:gridCol w:w="3005"/>
        <w:gridCol w:w="1580"/>
        <w:gridCol w:w="1595"/>
        <w:gridCol w:w="1610"/>
        <w:tblGridChange w:id="0">
          <w:tblGrid>
            <w:gridCol w:w="1475"/>
            <w:gridCol w:w="3005"/>
            <w:gridCol w:w="1580"/>
            <w:gridCol w:w="1595"/>
            <w:gridCol w:w="1610"/>
          </w:tblGrid>
        </w:tblGridChange>
      </w:tblGrid>
      <w:tr>
        <w:trPr>
          <w:cantSplit w:val="0"/>
          <w:tblHeader w:val="0"/>
        </w:trPr>
        <w:tc>
          <w:tcPr>
            <w:tcBorders>
              <w:top w:color="000000" w:space="0" w:sz="8" w:val="single"/>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b w:val="1"/>
                <w:bCs w:val="1"/>
              </w:rPr>
            </w:pPr>
            <w:r w:rsidDel="00000000" w:rsidR="00000000" w:rsidRPr="00000000">
              <w:rPr>
                <w:b w:val="1"/>
                <w:bCs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rPr>
                <w:b w:val="1"/>
                <w:bCs w:val="1"/>
              </w:rPr>
            </w:pPr>
            <w:r w:rsidDel="00000000" w:rsidR="00000000" w:rsidRPr="00000000">
              <w:rPr>
                <w:b w:val="1"/>
                <w:bCs w:val="1"/>
                <w:rtl w:val="0"/>
              </w:rPr>
              <w:t xml:space="preserve">Item</w:t>
            </w:r>
          </w:p>
        </w:tc>
        <w:tc>
          <w:tcPr>
            <w:tcBorders>
              <w:top w:color="000000" w:space="0" w:sz="8" w:val="single"/>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b w:val="1"/>
                <w:bCs w:val="1"/>
              </w:rPr>
            </w:pPr>
            <w:r w:rsidDel="00000000" w:rsidR="00000000" w:rsidRPr="00000000">
              <w:rPr>
                <w:b w:val="1"/>
                <w:bCs w:val="1"/>
                <w:rtl w:val="0"/>
              </w:rPr>
              <w:t xml:space="preserve">Quantity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rPr>
                <w:b w:val="1"/>
                <w:bCs w:val="1"/>
              </w:rPr>
            </w:pPr>
            <w:r w:rsidDel="00000000" w:rsidR="00000000" w:rsidRPr="00000000">
              <w:rPr>
                <w:b w:val="1"/>
                <w:bCs w:val="1"/>
                <w:rtl w:val="0"/>
              </w:rPr>
              <w:t xml:space="preserve">Cost/Unit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rPr>
                <w:b w:val="1"/>
                <w:bCs w:val="1"/>
              </w:rPr>
            </w:pPr>
            <w:r w:rsidDel="00000000" w:rsidR="00000000" w:rsidRPr="00000000">
              <w:rPr>
                <w:b w:val="1"/>
                <w:bCs w:val="1"/>
                <w:rtl w:val="0"/>
              </w:rPr>
              <w:t xml:space="preserve">Total Cost</w:t>
            </w:r>
          </w:p>
        </w:tc>
      </w:tr>
      <w:tr>
        <w:trPr>
          <w:cantSplit w:val="0"/>
          <w:tblHeader w:val="0"/>
        </w:trPr>
        <w:tc>
          <w:tcPr>
            <w:tcBorders>
              <w:top w:color="adadad" w:space="0" w:sz="4" w:val="single"/>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Workstation</w:t>
            </w:r>
          </w:p>
        </w:tc>
        <w:tc>
          <w:tcPr>
            <w:tcBorders>
              <w:top w:color="adadad" w:space="0" w:sz="4"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Alienware Desktop - RTX 5090</w:t>
            </w:r>
          </w:p>
        </w:tc>
        <w:tc>
          <w:tcPr>
            <w:tcBorders>
              <w:top w:color="adadad" w:space="0" w:sz="4" w:val="single"/>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1</w:t>
            </w:r>
          </w:p>
        </w:tc>
        <w:tc>
          <w:tcPr>
            <w:tcBorders>
              <w:top w:color="adadad" w:space="0" w:sz="4"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$6,849.99</w:t>
            </w:r>
          </w:p>
        </w:tc>
        <w:tc>
          <w:tcPr>
            <w:tcBorders>
              <w:top w:color="adadad" w:space="0" w:sz="4"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$6,849.99</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Workstation</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NVIDIA DGX Spark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1</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$4,699.99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$4,699.99</w:t>
            </w:r>
          </w:p>
        </w:tc>
      </w:tr>
      <w:tr>
        <w:trPr>
          <w:cantSplit w:val="0"/>
          <w:tblHeader w:val="0"/>
        </w:trPr>
        <w:tc>
          <w:tcPr>
            <w:tcBorders>
              <w:top w:color="000000" w:space="0" w:sz="8" w:val="single"/>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Peripherals</w:t>
            </w:r>
          </w:p>
        </w:tc>
        <w:tc>
          <w:tcPr>
            <w:tcBorders>
              <w:top w:color="000000" w:space="0" w:sz="8"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ThinkCentre</w:t>
            </w:r>
          </w:p>
        </w:tc>
        <w:tc>
          <w:tcPr>
            <w:tcBorders>
              <w:top w:color="000000" w:space="0" w:sz="8" w:val="single"/>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1</w:t>
            </w:r>
          </w:p>
        </w:tc>
        <w:tc>
          <w:tcPr>
            <w:tcBorders>
              <w:top w:color="000000" w:space="0" w:sz="8"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$759.00</w:t>
            </w:r>
          </w:p>
        </w:tc>
        <w:tc>
          <w:tcPr>
            <w:tcBorders>
              <w:top w:color="000000" w:space="0" w:sz="8"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$759.00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Alienware Monitor</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2</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$349.99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$699.98</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Dell Keyboard</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2</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$12.95</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$25.90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Peripherals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Dell Optical Mouse</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2</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$8.29</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$16.58</w:t>
            </w:r>
          </w:p>
        </w:tc>
      </w:tr>
      <w:tr>
        <w:trPr>
          <w:cantSplit w:val="0"/>
          <w:tblHeader w:val="0"/>
        </w:trPr>
        <w:tc>
          <w:tcPr>
            <w:tcBorders>
              <w:top w:color="000000" w:space="0" w:sz="0" w:val="nil"/>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Peripherals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Cabling</w:t>
            </w:r>
          </w:p>
        </w:tc>
        <w:tc>
          <w:tcPr>
            <w:tcBorders>
              <w:top w:color="000000" w:space="0" w:sz="0" w:val="nil"/>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$9.99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$19.98</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Facilities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Furniture Estimate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1</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$5,000.00</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$5,000.00</w:t>
            </w:r>
          </w:p>
        </w:tc>
      </w:tr>
      <w:tr>
        <w:trPr>
          <w:cantSplit w:val="0"/>
          <w:trHeight w:val="770" w:hRule="atLeast"/>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Facilities</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Ethernet + Electrical Estimate **</w:t>
            </w:r>
          </w:p>
        </w:tc>
        <w:tc>
          <w:tcPr>
            <w:tcBorders>
              <w:top w:color="000000" w:space="0" w:sz="0" w:val="nil"/>
              <w:left w:color="000000" w:space="0" w:sz="0" w:val="nil"/>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1</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$5,000.00</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$5,000.00</w:t>
            </w:r>
          </w:p>
        </w:tc>
      </w:tr>
      <w:tr>
        <w:trPr>
          <w:cantSplit w:val="0"/>
          <w:trHeight w:val="755" w:hRule="atLeast"/>
          <w:tblHeader w:val="0"/>
        </w:trPr>
        <w:tc>
          <w:tcPr>
            <w:tcBorders>
              <w:top w:color="000000" w:space="0" w:sz="0" w:val="nil"/>
              <w:left w:color="000000" w:space="0" w:sz="8" w:val="single"/>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Facilities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Security Camera Estimate **</w:t>
            </w:r>
          </w:p>
        </w:tc>
        <w:tc>
          <w:tcPr>
            <w:tcBorders>
              <w:top w:color="000000" w:space="0" w:sz="0" w:val="nil"/>
              <w:left w:color="000000" w:space="0" w:sz="0" w:val="nil"/>
              <w:bottom w:color="000000" w:space="0" w:sz="8"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 $750.00</w:t>
            </w:r>
          </w:p>
        </w:tc>
        <w:tc>
          <w:tcPr>
            <w:tcBorders>
              <w:top w:color="adadad" w:space="0" w:sz="4"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$1,500.00</w:t>
            </w:r>
          </w:p>
        </w:tc>
      </w:tr>
      <w:tr>
        <w:trPr>
          <w:cantSplit w:val="0"/>
          <w:tblHeader w:val="0"/>
        </w:trPr>
        <w:tc>
          <w:tcPr>
            <w:tcBorders>
              <w:top w:color="000000" w:space="0" w:sz="0" w:val="nil"/>
              <w:left w:color="000000" w:space="0" w:sz="8" w:val="single"/>
              <w:bottom w:color="adadad" w:space="0" w:sz="4" w:val="single"/>
              <w:right w:color="adadad"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 </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 </w:t>
            </w:r>
          </w:p>
        </w:tc>
        <w:tc>
          <w:tcPr>
            <w:gridSpan w:val="2"/>
            <w:tcBorders>
              <w:top w:color="000000" w:space="0" w:sz="8" w:val="single"/>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Total Before Tax</w:t>
            </w:r>
          </w:p>
        </w:tc>
        <w:tc>
          <w:tcPr>
            <w:tcBorders>
              <w:top w:color="000000" w:space="0" w:sz="0" w:val="nil"/>
              <w:left w:color="000000" w:space="0" w:sz="0" w:val="nil"/>
              <w:bottom w:color="adadad"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$24,571.42</w:t>
            </w:r>
          </w:p>
        </w:tc>
      </w:tr>
      <w:tr>
        <w:trPr>
          <w:cantSplit w:val="0"/>
          <w:tblHeader w:val="0"/>
        </w:trPr>
        <w:tc>
          <w:tcPr>
            <w:tcBorders>
              <w:top w:color="000000" w:space="0" w:sz="0" w:val="nil"/>
              <w:left w:color="000000" w:space="0" w:sz="8" w:val="single"/>
              <w:bottom w:color="adadad" w:space="0" w:sz="4" w:val="single"/>
              <w:right w:color="adadad"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 </w:t>
            </w:r>
          </w:p>
        </w:tc>
        <w:tc>
          <w:tcPr>
            <w:tcBorders>
              <w:top w:color="000000" w:space="0" w:sz="0" w:val="nil"/>
              <w:left w:color="000000" w:space="0" w:sz="0" w:val="nil"/>
              <w:bottom w:color="adadad" w:space="0" w:sz="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 </w:t>
            </w:r>
          </w:p>
        </w:tc>
        <w:tc>
          <w:tcPr>
            <w:gridSpan w:val="2"/>
            <w:tcBorders>
              <w:top w:color="adadad" w:space="0" w:sz="4" w:val="single"/>
              <w:left w:color="000000" w:space="0" w:sz="0" w:val="nil"/>
              <w:bottom w:color="adadad" w:space="0" w:sz="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Estimated Tax (10%)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$2,457.14</w:t>
            </w:r>
          </w:p>
        </w:tc>
      </w:tr>
      <w:tr>
        <w:trPr>
          <w:cantSplit w:val="0"/>
          <w:tblHeader w:val="0"/>
        </w:trPr>
        <w:tc>
          <w:tcPr>
            <w:tcBorders>
              <w:top w:color="000000" w:space="0" w:sz="0" w:val="nil"/>
              <w:left w:color="000000" w:space="0" w:sz="8" w:val="single"/>
              <w:bottom w:color="000000" w:space="0" w:sz="8" w:val="single"/>
              <w:right w:color="adadad"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 </w:t>
            </w:r>
          </w:p>
        </w:tc>
        <w:tc>
          <w:tcPr>
            <w:gridSpan w:val="2"/>
            <w:tcBorders>
              <w:top w:color="adadad" w:space="0" w:sz="4"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rPr>
                <w:b w:val="1"/>
                <w:bCs w:val="1"/>
              </w:rPr>
            </w:pPr>
            <w:r w:rsidDel="00000000" w:rsidR="00000000" w:rsidRPr="00000000">
              <w:rPr>
                <w:b w:val="1"/>
                <w:bCs w:val="1"/>
                <w:rtl w:val="0"/>
              </w:rPr>
              <w:t xml:space="preserve">Total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rPr>
                <w:b w:val="1"/>
                <w:bCs w:val="1"/>
              </w:rPr>
            </w:pPr>
            <w:r w:rsidDel="00000000" w:rsidR="00000000" w:rsidRPr="00000000">
              <w:rPr>
                <w:b w:val="1"/>
                <w:bCs w:val="1"/>
                <w:rtl w:val="0"/>
              </w:rPr>
              <w:t xml:space="preserve">$27,028.56</w:t>
            </w:r>
          </w:p>
        </w:tc>
      </w:tr>
    </w:tbl>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 Hardware prices as of April 29, 2026</w:t>
      </w:r>
    </w:p>
    <w:p w:rsidR="00000000" w:rsidDel="00000000" w:rsidP="00000000" w:rsidRDefault="00000000" w:rsidRPr="00000000" w14:paraId="0000013A">
      <w:pPr>
        <w:pStyle w:val="Heading1"/>
        <w:rPr/>
      </w:pPr>
      <w:bookmarkStart w:colFirst="0" w:colLast="0" w:name="_koxynqqld097" w:id="20"/>
      <w:bookmarkEnd w:id="20"/>
      <w:r w:rsidDel="00000000" w:rsidR="00000000" w:rsidRPr="00000000">
        <w:rPr>
          <w:rtl w:val="0"/>
        </w:rPr>
        <w:t xml:space="preserve">** Note: Estimates for furniture and electrical/network port installations are based on past project costs. Formal quotes from Facilities are currently in progress, and furniture quotes will be requested once the room assignment is confirmed.</w:t>
      </w:r>
    </w:p>
    <w:p w:rsidR="00000000" w:rsidDel="00000000" w:rsidP="00000000" w:rsidRDefault="00000000" w:rsidRPr="00000000" w14:paraId="0000013B">
      <w:pPr>
        <w:rPr>
          <w:i w:val="1"/>
          <w:iCs w:val="1"/>
        </w:rPr>
      </w:pPr>
      <w:r w:rsidDel="00000000" w:rsidR="00000000" w:rsidRPr="00000000">
        <w:rPr>
          <w:rtl w:val="0"/>
        </w:rPr>
        <w:br w:type="textWrapping"/>
      </w:r>
      <w:r w:rsidDel="00000000" w:rsidR="00000000" w:rsidRPr="00000000">
        <w:rPr>
          <w:i w:val="1"/>
          <w:iCs w:val="1"/>
          <w:rtl w:val="0"/>
        </w:rPr>
        <w:t xml:space="preserve">Detailed specifications for all systems are provided in Appendix A. </w:t>
      </w:r>
    </w:p>
    <w:p w:rsidR="00000000" w:rsidDel="00000000" w:rsidP="00000000" w:rsidRDefault="00000000" w:rsidRPr="00000000" w14:paraId="0000013C">
      <w:pPr>
        <w:rPr>
          <w:i w:val="1"/>
          <w:iCs w:val="1"/>
        </w:rPr>
      </w:pPr>
      <w:r w:rsidDel="00000000" w:rsidR="00000000" w:rsidRPr="00000000">
        <w:rPr>
          <w:rtl w:val="0"/>
        </w:rPr>
      </w:r>
    </w:p>
    <w:p w:rsidR="00000000" w:rsidDel="00000000" w:rsidP="00000000" w:rsidRDefault="00000000" w:rsidRPr="00000000" w14:paraId="0000013D">
      <w:pPr>
        <w:pStyle w:val="Heading1"/>
        <w:spacing w:after="0" w:before="240" w:lineRule="auto"/>
        <w:rPr/>
      </w:pPr>
      <w:bookmarkStart w:colFirst="0" w:colLast="0" w:name="_1ro8cd3sk3p3" w:id="21"/>
      <w:bookmarkEnd w:id="21"/>
      <w:r w:rsidDel="00000000" w:rsidR="00000000" w:rsidRPr="00000000">
        <w:rPr>
          <w:rtl w:val="0"/>
        </w:rPr>
        <w:t xml:space="preserve">Conclusion</w:t>
      </w:r>
    </w:p>
    <w:p w:rsidR="00000000" w:rsidDel="00000000" w:rsidP="00000000" w:rsidRDefault="00000000" w:rsidRPr="00000000" w14:paraId="0000013E">
      <w:pPr>
        <w:spacing w:after="240" w:before="0" w:lineRule="auto"/>
        <w:rPr/>
      </w:pPr>
      <w:r w:rsidDel="00000000" w:rsidR="00000000" w:rsidRPr="00000000">
        <w:rPr>
          <w:rtl w:val="0"/>
        </w:rPr>
        <w:t xml:space="preserve">The STAR Lab AI transformation fills a critical campus gap, bridging the larger space between basic user and productivity services and elite, cloistered, grant-funded machine-learning infrastructure. The AI lab serves the Library's university and ARL mission to reach our wider research community. This community is currently without hands-on, no-cost access to the next-level open-source/open-weight tools reshaping their disciplines. This also includes graduate and undergraduate students seeking to work and experiment at higher levels of AI but without grand funding. By embedding open-weight models, disciplinary applications, and AI literacy programming within the Library's existing AI literacy service infrastructure, this initiative delivers immediate, measurable value to faculty, graduate students, and undergraduates across the Humanities, Social Sciences, and STEM, while eliminating the recurring subscription costs that increasingly burden departmental budgets. The result is a fiscally responsible, ARL-caliber national prototype — with strong donor naming potential and a high return on investment — that positions UCR and the Library among the ARL leaders defining the AI transition now reshaping research universities, scholarly possibilities, and the global socio-economic imperatives of a changing professional workforce.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Subtitle"/>
        <w:rPr>
          <w:highlight w:val="yellow"/>
        </w:rPr>
      </w:pPr>
      <w:bookmarkStart w:colFirst="0" w:colLast="0" w:name="_fsbn67qgo725" w:id="22"/>
      <w:bookmarkEnd w:id="22"/>
      <w:r w:rsidDel="00000000" w:rsidR="00000000" w:rsidRPr="00000000">
        <w:br w:type="page"/>
      </w:r>
      <w:r w:rsidDel="00000000" w:rsidR="00000000" w:rsidRPr="00000000">
        <w:rPr>
          <w:rtl w:val="0"/>
        </w:rPr>
      </w:r>
    </w:p>
    <w:p w:rsidR="00000000" w:rsidDel="00000000" w:rsidP="00000000" w:rsidRDefault="00000000" w:rsidRPr="00000000" w14:paraId="00000142">
      <w:pPr>
        <w:pStyle w:val="Subtitle"/>
        <w:rPr>
          <w:i w:val="1"/>
          <w:iCs w:val="1"/>
        </w:rPr>
      </w:pPr>
      <w:bookmarkStart w:colFirst="0" w:colLast="0" w:name="_q3absfqekvsp" w:id="23"/>
      <w:bookmarkEnd w:id="23"/>
      <w:r w:rsidDel="00000000" w:rsidR="00000000" w:rsidRPr="00000000">
        <w:rPr>
          <w:i w:val="1"/>
          <w:iCs w:val="1"/>
          <w:rtl w:val="0"/>
        </w:rPr>
        <w:t xml:space="preserve">Appendix A: Hardware and Peripheral Specifications</w:t>
      </w:r>
    </w:p>
    <w:p w:rsidR="00000000" w:rsidDel="00000000" w:rsidP="00000000" w:rsidRDefault="00000000" w:rsidRPr="00000000" w14:paraId="00000143">
      <w:pPr>
        <w:pStyle w:val="Heading1"/>
        <w:rPr/>
      </w:pPr>
      <w:bookmarkStart w:colFirst="0" w:colLast="0" w:name="_a84rdv57vgxw" w:id="24"/>
      <w:bookmarkEnd w:id="24"/>
      <w:r w:rsidDel="00000000" w:rsidR="00000000" w:rsidRPr="00000000">
        <w:rPr>
          <w:rtl w:val="0"/>
        </w:rPr>
      </w:r>
    </w:p>
    <w:p w:rsidR="00000000" w:rsidDel="00000000" w:rsidP="00000000" w:rsidRDefault="00000000" w:rsidRPr="00000000" w14:paraId="00000144">
      <w:pPr>
        <w:pStyle w:val="Heading1"/>
        <w:rPr/>
      </w:pPr>
      <w:bookmarkStart w:colFirst="0" w:colLast="0" w:name="_icv4gz5xsvho" w:id="25"/>
      <w:bookmarkEnd w:id="25"/>
      <w:r w:rsidDel="00000000" w:rsidR="00000000" w:rsidRPr="00000000">
        <w:rPr>
          <w:rtl w:val="0"/>
        </w:rPr>
        <w:t xml:space="preserve">Dell Pro Max Tower T2 Desktop</w:t>
      </w:r>
    </w:p>
    <w:p w:rsidR="00000000" w:rsidDel="00000000" w:rsidP="00000000" w:rsidRDefault="00000000" w:rsidRPr="00000000" w14:paraId="00000145">
      <w:pPr>
        <w:numPr>
          <w:ilvl w:val="0"/>
          <w:numId w:val="5"/>
        </w:numPr>
        <w:ind w:left="720" w:hanging="360"/>
      </w:pPr>
      <w:r w:rsidDel="00000000" w:rsidR="00000000" w:rsidRPr="00000000">
        <w:rPr>
          <w:rtl w:val="0"/>
        </w:rPr>
        <w:t xml:space="preserve">Processor: Intel® Core™ Ultra 9 285K (24 cores, up to 5.7 GHz, 125 W)</w:t>
      </w:r>
    </w:p>
    <w:p w:rsidR="00000000" w:rsidDel="00000000" w:rsidP="00000000" w:rsidRDefault="00000000" w:rsidRPr="00000000" w14:paraId="00000146">
      <w:pPr>
        <w:numPr>
          <w:ilvl w:val="0"/>
          <w:numId w:val="5"/>
        </w:numPr>
        <w:ind w:left="720" w:hanging="360"/>
      </w:pPr>
      <w:r w:rsidDel="00000000" w:rsidR="00000000" w:rsidRPr="00000000">
        <w:rPr>
          <w:rtl w:val="0"/>
        </w:rPr>
        <w:t xml:space="preserve">Operating System: Windows 11 Pro</w:t>
      </w:r>
    </w:p>
    <w:p w:rsidR="00000000" w:rsidDel="00000000" w:rsidP="00000000" w:rsidRDefault="00000000" w:rsidRPr="00000000" w14:paraId="00000147">
      <w:pPr>
        <w:numPr>
          <w:ilvl w:val="0"/>
          <w:numId w:val="5"/>
        </w:numPr>
        <w:ind w:left="720" w:hanging="360"/>
      </w:pPr>
      <w:r w:rsidDel="00000000" w:rsidR="00000000" w:rsidRPr="00000000">
        <w:rPr>
          <w:rtl w:val="0"/>
        </w:rPr>
        <w:t xml:space="preserve">Memory: 64GB (2 x 32 GB) DDR5, 5600 MT/s, ECC</w:t>
      </w:r>
    </w:p>
    <w:p w:rsidR="00000000" w:rsidDel="00000000" w:rsidP="00000000" w:rsidRDefault="00000000" w:rsidRPr="00000000" w14:paraId="00000148">
      <w:pPr>
        <w:numPr>
          <w:ilvl w:val="0"/>
          <w:numId w:val="5"/>
        </w:numPr>
        <w:ind w:left="720" w:hanging="360"/>
      </w:pPr>
      <w:r w:rsidDel="00000000" w:rsidR="00000000" w:rsidRPr="00000000">
        <w:rPr>
          <w:rtl w:val="0"/>
        </w:rPr>
        <w:t xml:space="preserve">Storage: 4 TB, 5400 RPM, 3.5-inch, SATA, HDD</w:t>
      </w:r>
    </w:p>
    <w:p w:rsidR="00000000" w:rsidDel="00000000" w:rsidP="00000000" w:rsidRDefault="00000000" w:rsidRPr="00000000" w14:paraId="00000149">
      <w:pPr>
        <w:numPr>
          <w:ilvl w:val="0"/>
          <w:numId w:val="5"/>
        </w:numPr>
        <w:ind w:left="720" w:hanging="360"/>
      </w:pPr>
      <w:r w:rsidDel="00000000" w:rsidR="00000000" w:rsidRPr="00000000">
        <w:rPr>
          <w:rtl w:val="0"/>
        </w:rPr>
        <w:t xml:space="preserve">Graphics/VRAM: NVIDIA® RTX™ PRO 6000 Blackwell Workstation Edition (600W), 96GB GDDR7 with ECC, 4DP</w:t>
      </w:r>
    </w:p>
    <w:p w:rsidR="00000000" w:rsidDel="00000000" w:rsidP="00000000" w:rsidRDefault="00000000" w:rsidRPr="00000000" w14:paraId="0000014A">
      <w:pPr>
        <w:numPr>
          <w:ilvl w:val="0"/>
          <w:numId w:val="5"/>
        </w:numPr>
        <w:ind w:left="720" w:hanging="360"/>
      </w:pPr>
      <w:r w:rsidDel="00000000" w:rsidR="00000000" w:rsidRPr="00000000">
        <w:rPr>
          <w:rtl w:val="0"/>
        </w:rPr>
        <w:t xml:space="preserve">LLM Capacity: ~160B Parameters (at 4-bit quantization)</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pStyle w:val="Heading1"/>
        <w:spacing w:after="0" w:before="0" w:lineRule="auto"/>
        <w:rPr/>
      </w:pPr>
      <w:bookmarkStart w:colFirst="0" w:colLast="0" w:name="_qnrk21ik9zld" w:id="26"/>
      <w:bookmarkEnd w:id="26"/>
      <w:r w:rsidDel="00000000" w:rsidR="00000000" w:rsidRPr="00000000">
        <w:rPr>
          <w:rtl w:val="0"/>
        </w:rPr>
        <w:t xml:space="preserve">Alienware Area-51 Gaming Desktop</w:t>
      </w:r>
    </w:p>
    <w:p w:rsidR="00000000" w:rsidDel="00000000" w:rsidP="00000000" w:rsidRDefault="00000000" w:rsidRPr="00000000" w14:paraId="0000014D">
      <w:pPr>
        <w:numPr>
          <w:ilvl w:val="0"/>
          <w:numId w:val="7"/>
        </w:numPr>
        <w:ind w:left="720" w:hanging="360"/>
      </w:pPr>
      <w:r w:rsidDel="00000000" w:rsidR="00000000" w:rsidRPr="00000000">
        <w:rPr>
          <w:rtl w:val="0"/>
        </w:rPr>
        <w:t xml:space="preserve">Processor: Intel® Core™ Ultra 9 285K (24-Core, 76MB Cache, up to 5.7GHz)</w:t>
      </w:r>
    </w:p>
    <w:p w:rsidR="00000000" w:rsidDel="00000000" w:rsidP="00000000" w:rsidRDefault="00000000" w:rsidRPr="00000000" w14:paraId="0000014E">
      <w:pPr>
        <w:numPr>
          <w:ilvl w:val="0"/>
          <w:numId w:val="7"/>
        </w:numPr>
        <w:ind w:left="720" w:hanging="360"/>
        <w:rPr>
          <w:u w:val="none"/>
        </w:rPr>
      </w:pPr>
      <w:r w:rsidDel="00000000" w:rsidR="00000000" w:rsidRPr="00000000">
        <w:rPr>
          <w:rtl w:val="0"/>
        </w:rPr>
        <w:t xml:space="preserve">Operating System: Windows 11 Home</w:t>
      </w:r>
    </w:p>
    <w:p w:rsidR="00000000" w:rsidDel="00000000" w:rsidP="00000000" w:rsidRDefault="00000000" w:rsidRPr="00000000" w14:paraId="0000014F">
      <w:pPr>
        <w:numPr>
          <w:ilvl w:val="0"/>
          <w:numId w:val="7"/>
        </w:numPr>
        <w:ind w:left="720" w:hanging="360"/>
      </w:pPr>
      <w:r w:rsidDel="00000000" w:rsidR="00000000" w:rsidRPr="00000000">
        <w:rPr>
          <w:rtl w:val="0"/>
        </w:rPr>
        <w:t xml:space="preserve">Memory: 64GB Dual Channel DDR5 (2x 32GB) @ 6400 MT/s</w:t>
      </w:r>
    </w:p>
    <w:p w:rsidR="00000000" w:rsidDel="00000000" w:rsidP="00000000" w:rsidRDefault="00000000" w:rsidRPr="00000000" w14:paraId="00000150">
      <w:pPr>
        <w:numPr>
          <w:ilvl w:val="0"/>
          <w:numId w:val="7"/>
        </w:numPr>
        <w:ind w:left="720" w:hanging="360"/>
      </w:pPr>
      <w:r w:rsidDel="00000000" w:rsidR="00000000" w:rsidRPr="00000000">
        <w:rPr>
          <w:rtl w:val="0"/>
        </w:rPr>
        <w:t xml:space="preserve">Storage: 4TB NVMe M.2 PCIe Gen4 SSD</w:t>
      </w:r>
    </w:p>
    <w:p w:rsidR="00000000" w:rsidDel="00000000" w:rsidP="00000000" w:rsidRDefault="00000000" w:rsidRPr="00000000" w14:paraId="00000151">
      <w:pPr>
        <w:numPr>
          <w:ilvl w:val="0"/>
          <w:numId w:val="7"/>
        </w:numPr>
        <w:ind w:left="720" w:hanging="360"/>
      </w:pPr>
      <w:r w:rsidDel="00000000" w:rsidR="00000000" w:rsidRPr="00000000">
        <w:rPr>
          <w:rtl w:val="0"/>
        </w:rPr>
        <w:t xml:space="preserve">Graphics/VRAM: NVIDIA® GeForce RTX™ 5090 (32GB GDDR7)</w:t>
      </w:r>
    </w:p>
    <w:p w:rsidR="00000000" w:rsidDel="00000000" w:rsidP="00000000" w:rsidRDefault="00000000" w:rsidRPr="00000000" w14:paraId="00000152">
      <w:pPr>
        <w:numPr>
          <w:ilvl w:val="0"/>
          <w:numId w:val="7"/>
        </w:numPr>
        <w:ind w:left="720" w:hanging="360"/>
      </w:pPr>
      <w:r w:rsidDel="00000000" w:rsidR="00000000" w:rsidRPr="00000000">
        <w:rPr>
          <w:rtl w:val="0"/>
        </w:rPr>
        <w:t xml:space="preserve">LLM Capacity: ~53B Parameters (at 4-bit quantization)</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pStyle w:val="Heading1"/>
        <w:spacing w:after="0" w:before="0" w:lineRule="auto"/>
        <w:rPr/>
      </w:pPr>
      <w:bookmarkStart w:colFirst="0" w:colLast="0" w:name="_4v0194bg8b06" w:id="27"/>
      <w:bookmarkEnd w:id="27"/>
      <w:r w:rsidDel="00000000" w:rsidR="00000000" w:rsidRPr="00000000">
        <w:rPr>
          <w:rtl w:val="0"/>
        </w:rPr>
        <w:t xml:space="preserve">NVIDIA DGX Spark</w:t>
      </w:r>
    </w:p>
    <w:p w:rsidR="00000000" w:rsidDel="00000000" w:rsidP="00000000" w:rsidRDefault="00000000" w:rsidRPr="00000000" w14:paraId="00000155">
      <w:pPr>
        <w:numPr>
          <w:ilvl w:val="0"/>
          <w:numId w:val="3"/>
        </w:numPr>
        <w:ind w:left="720" w:hanging="360"/>
      </w:pPr>
      <w:r w:rsidDel="00000000" w:rsidR="00000000" w:rsidRPr="00000000">
        <w:rPr>
          <w:rtl w:val="0"/>
        </w:rPr>
        <w:t xml:space="preserve">Processor: 20-core Arm (10 Cortex-X925 + 10 Cortex-A725)</w:t>
      </w:r>
    </w:p>
    <w:p w:rsidR="00000000" w:rsidDel="00000000" w:rsidP="00000000" w:rsidRDefault="00000000" w:rsidRPr="00000000" w14:paraId="00000156">
      <w:pPr>
        <w:numPr>
          <w:ilvl w:val="0"/>
          <w:numId w:val="3"/>
        </w:numPr>
        <w:ind w:left="720" w:hanging="360"/>
      </w:pPr>
      <w:r w:rsidDel="00000000" w:rsidR="00000000" w:rsidRPr="00000000">
        <w:rPr>
          <w:rtl w:val="0"/>
        </w:rPr>
        <w:t xml:space="preserve">Operating System: NVIDIA DGX™ OS</w:t>
      </w:r>
    </w:p>
    <w:p w:rsidR="00000000" w:rsidDel="00000000" w:rsidP="00000000" w:rsidRDefault="00000000" w:rsidRPr="00000000" w14:paraId="00000157">
      <w:pPr>
        <w:numPr>
          <w:ilvl w:val="0"/>
          <w:numId w:val="3"/>
        </w:numPr>
        <w:ind w:left="720" w:hanging="360"/>
      </w:pPr>
      <w:r w:rsidDel="00000000" w:rsidR="00000000" w:rsidRPr="00000000">
        <w:rPr>
          <w:rtl w:val="0"/>
        </w:rPr>
        <w:t xml:space="preserve">Memory: 128GB LPDDR5X Unified RAM</w:t>
      </w:r>
    </w:p>
    <w:p w:rsidR="00000000" w:rsidDel="00000000" w:rsidP="00000000" w:rsidRDefault="00000000" w:rsidRPr="00000000" w14:paraId="00000158">
      <w:pPr>
        <w:numPr>
          <w:ilvl w:val="0"/>
          <w:numId w:val="3"/>
        </w:numPr>
        <w:ind w:left="720" w:hanging="360"/>
      </w:pPr>
      <w:r w:rsidDel="00000000" w:rsidR="00000000" w:rsidRPr="00000000">
        <w:rPr>
          <w:rtl w:val="0"/>
        </w:rPr>
        <w:t xml:space="preserve">Storage: 4TB NVMe M.2 with self-encryption</w:t>
      </w:r>
    </w:p>
    <w:p w:rsidR="00000000" w:rsidDel="00000000" w:rsidP="00000000" w:rsidRDefault="00000000" w:rsidRPr="00000000" w14:paraId="00000159">
      <w:pPr>
        <w:numPr>
          <w:ilvl w:val="0"/>
          <w:numId w:val="3"/>
        </w:numPr>
        <w:ind w:left="720" w:hanging="360"/>
      </w:pPr>
      <w:r w:rsidDel="00000000" w:rsidR="00000000" w:rsidRPr="00000000">
        <w:rPr>
          <w:rtl w:val="0"/>
        </w:rPr>
        <w:t xml:space="preserve">Graphics/VRAM: NVIDIA GB10 (128GB Unified VRAM)</w:t>
      </w:r>
    </w:p>
    <w:p w:rsidR="00000000" w:rsidDel="00000000" w:rsidP="00000000" w:rsidRDefault="00000000" w:rsidRPr="00000000" w14:paraId="0000015A">
      <w:pPr>
        <w:numPr>
          <w:ilvl w:val="0"/>
          <w:numId w:val="3"/>
        </w:numPr>
        <w:ind w:left="720" w:hanging="360"/>
      </w:pPr>
      <w:r w:rsidDel="00000000" w:rsidR="00000000" w:rsidRPr="00000000">
        <w:rPr>
          <w:rtl w:val="0"/>
        </w:rPr>
        <w:t xml:space="preserve">LLM Capacity: ~213B Parameters (at 4-bit quantization)</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pStyle w:val="Heading1"/>
        <w:rPr/>
      </w:pPr>
      <w:bookmarkStart w:colFirst="0" w:colLast="0" w:name="_h286po4d5clu" w:id="28"/>
      <w:bookmarkEnd w:id="28"/>
      <w:r w:rsidDel="00000000" w:rsidR="00000000" w:rsidRPr="00000000">
        <w:rPr>
          <w:rtl w:val="0"/>
        </w:rPr>
        <w:t xml:space="preserve">Apple Mac Studio (M3 Ultra)</w:t>
      </w:r>
    </w:p>
    <w:p w:rsidR="00000000" w:rsidDel="00000000" w:rsidP="00000000" w:rsidRDefault="00000000" w:rsidRPr="00000000" w14:paraId="0000015D">
      <w:pPr>
        <w:numPr>
          <w:ilvl w:val="0"/>
          <w:numId w:val="1"/>
        </w:numPr>
        <w:ind w:left="720" w:hanging="360"/>
      </w:pPr>
      <w:r w:rsidDel="00000000" w:rsidR="00000000" w:rsidRPr="00000000">
        <w:rPr>
          <w:rtl w:val="0"/>
        </w:rPr>
        <w:t xml:space="preserve">Processor: Apple M3 Ultra chip (32-core CPU)</w:t>
      </w:r>
    </w:p>
    <w:p w:rsidR="00000000" w:rsidDel="00000000" w:rsidP="00000000" w:rsidRDefault="00000000" w:rsidRPr="00000000" w14:paraId="0000015E">
      <w:pPr>
        <w:numPr>
          <w:ilvl w:val="0"/>
          <w:numId w:val="1"/>
        </w:numPr>
        <w:ind w:left="720" w:hanging="360"/>
      </w:pPr>
      <w:r w:rsidDel="00000000" w:rsidR="00000000" w:rsidRPr="00000000">
        <w:rPr>
          <w:rtl w:val="0"/>
        </w:rPr>
        <w:t xml:space="preserve">Operating System: macOS</w:t>
      </w:r>
    </w:p>
    <w:p w:rsidR="00000000" w:rsidDel="00000000" w:rsidP="00000000" w:rsidRDefault="00000000" w:rsidRPr="00000000" w14:paraId="0000015F">
      <w:pPr>
        <w:numPr>
          <w:ilvl w:val="0"/>
          <w:numId w:val="1"/>
        </w:numPr>
        <w:ind w:left="720" w:hanging="360"/>
      </w:pPr>
      <w:r w:rsidDel="00000000" w:rsidR="00000000" w:rsidRPr="00000000">
        <w:rPr>
          <w:rtl w:val="0"/>
        </w:rPr>
        <w:t xml:space="preserve">Memory: 256GB Unified Memory</w:t>
      </w:r>
    </w:p>
    <w:p w:rsidR="00000000" w:rsidDel="00000000" w:rsidP="00000000" w:rsidRDefault="00000000" w:rsidRPr="00000000" w14:paraId="00000160">
      <w:pPr>
        <w:numPr>
          <w:ilvl w:val="0"/>
          <w:numId w:val="1"/>
        </w:numPr>
        <w:ind w:left="720" w:hanging="360"/>
      </w:pPr>
      <w:r w:rsidDel="00000000" w:rsidR="00000000" w:rsidRPr="00000000">
        <w:rPr>
          <w:rtl w:val="0"/>
        </w:rPr>
        <w:t xml:space="preserve">Storage: 2TB SSD</w:t>
      </w:r>
    </w:p>
    <w:p w:rsidR="00000000" w:rsidDel="00000000" w:rsidP="00000000" w:rsidRDefault="00000000" w:rsidRPr="00000000" w14:paraId="00000161">
      <w:pPr>
        <w:numPr>
          <w:ilvl w:val="0"/>
          <w:numId w:val="1"/>
        </w:numPr>
        <w:ind w:left="720" w:hanging="360"/>
      </w:pPr>
      <w:r w:rsidDel="00000000" w:rsidR="00000000" w:rsidRPr="00000000">
        <w:rPr>
          <w:rtl w:val="0"/>
        </w:rPr>
        <w:t xml:space="preserve">Graphics/VRAM: 80-core GPU (Unified with system memory)</w:t>
      </w:r>
    </w:p>
    <w:p w:rsidR="00000000" w:rsidDel="00000000" w:rsidP="00000000" w:rsidRDefault="00000000" w:rsidRPr="00000000" w14:paraId="00000162">
      <w:pPr>
        <w:numPr>
          <w:ilvl w:val="0"/>
          <w:numId w:val="1"/>
        </w:numPr>
        <w:ind w:left="720" w:hanging="360"/>
      </w:pPr>
      <w:r w:rsidDel="00000000" w:rsidR="00000000" w:rsidRPr="00000000">
        <w:rPr>
          <w:rtl w:val="0"/>
        </w:rPr>
        <w:t xml:space="preserve">LLM Capacity: ~426B Parameters (at 4-bit quantization using shared memory architecture)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Style w:val="Heading1"/>
        <w:rPr/>
      </w:pPr>
      <w:bookmarkStart w:colFirst="0" w:colLast="0" w:name="_lztqbwnl2sts" w:id="29"/>
      <w:bookmarkEnd w:id="29"/>
      <w:r w:rsidDel="00000000" w:rsidR="00000000" w:rsidRPr="00000000">
        <w:rPr>
          <w:rtl w:val="0"/>
        </w:rPr>
        <w:t xml:space="preserve">Peripherals</w:t>
      </w:r>
    </w:p>
    <w:p w:rsidR="00000000" w:rsidDel="00000000" w:rsidP="00000000" w:rsidRDefault="00000000" w:rsidRPr="00000000" w14:paraId="00000165">
      <w:pPr>
        <w:numPr>
          <w:ilvl w:val="0"/>
          <w:numId w:val="9"/>
        </w:numPr>
        <w:ind w:left="720" w:hanging="360"/>
      </w:pPr>
      <w:r w:rsidDel="00000000" w:rsidR="00000000" w:rsidRPr="00000000">
        <w:rPr>
          <w:rtl w:val="0"/>
        </w:rPr>
        <w:t xml:space="preserve">Desktop to connect to DGX Spark: ThinkCentre -  $759.00 @ </w:t>
      </w:r>
      <w:hyperlink r:id="rId6">
        <w:r w:rsidDel="00000000" w:rsidR="00000000" w:rsidRPr="00000000">
          <w:rPr>
            <w:color w:val="1155cc"/>
            <w:u w:val="single"/>
            <w:rtl w:val="0"/>
          </w:rPr>
          <w:t xml:space="preserve">Lenovo</w:t>
        </w:r>
      </w:hyperlink>
      <w:r w:rsidDel="00000000" w:rsidR="00000000" w:rsidRPr="00000000">
        <w:rPr>
          <w:rtl w:val="0"/>
        </w:rPr>
      </w:r>
    </w:p>
    <w:p w:rsidR="00000000" w:rsidDel="00000000" w:rsidP="00000000" w:rsidRDefault="00000000" w:rsidRPr="00000000" w14:paraId="00000166">
      <w:pPr>
        <w:numPr>
          <w:ilvl w:val="0"/>
          <w:numId w:val="9"/>
        </w:numPr>
        <w:ind w:left="720" w:hanging="360"/>
      </w:pPr>
      <w:r w:rsidDel="00000000" w:rsidR="00000000" w:rsidRPr="00000000">
        <w:rPr>
          <w:rtl w:val="0"/>
        </w:rPr>
        <w:t xml:space="preserve">Monitors: Alienware AW3425DWM - $349.99 @ </w:t>
      </w:r>
      <w:hyperlink r:id="rId7">
        <w:r w:rsidDel="00000000" w:rsidR="00000000" w:rsidRPr="00000000">
          <w:rPr>
            <w:color w:val="1155cc"/>
            <w:u w:val="single"/>
            <w:rtl w:val="0"/>
          </w:rPr>
          <w:t xml:space="preserve">Dell</w:t>
        </w:r>
      </w:hyperlink>
      <w:r w:rsidDel="00000000" w:rsidR="00000000" w:rsidRPr="00000000">
        <w:rPr>
          <w:rtl w:val="0"/>
        </w:rPr>
      </w:r>
    </w:p>
    <w:p w:rsidR="00000000" w:rsidDel="00000000" w:rsidP="00000000" w:rsidRDefault="00000000" w:rsidRPr="00000000" w14:paraId="00000167">
      <w:pPr>
        <w:numPr>
          <w:ilvl w:val="0"/>
          <w:numId w:val="9"/>
        </w:numPr>
        <w:ind w:left="720" w:hanging="360"/>
      </w:pPr>
      <w:r w:rsidDel="00000000" w:rsidR="00000000" w:rsidRPr="00000000">
        <w:rPr>
          <w:rtl w:val="0"/>
        </w:rPr>
        <w:t xml:space="preserve">Keyboards: Dell Wired Keyboard - Black KB216 - $12.95 @ </w:t>
      </w:r>
      <w:hyperlink r:id="rId8">
        <w:r w:rsidDel="00000000" w:rsidR="00000000" w:rsidRPr="00000000">
          <w:rPr>
            <w:color w:val="1155cc"/>
            <w:u w:val="single"/>
            <w:rtl w:val="0"/>
          </w:rPr>
          <w:t xml:space="preserve">Amazon</w:t>
        </w:r>
      </w:hyperlink>
      <w:r w:rsidDel="00000000" w:rsidR="00000000" w:rsidRPr="00000000">
        <w:rPr>
          <w:rtl w:val="0"/>
        </w:rPr>
      </w:r>
    </w:p>
    <w:p w:rsidR="00000000" w:rsidDel="00000000" w:rsidP="00000000" w:rsidRDefault="00000000" w:rsidRPr="00000000" w14:paraId="00000168">
      <w:pPr>
        <w:numPr>
          <w:ilvl w:val="0"/>
          <w:numId w:val="9"/>
        </w:numPr>
        <w:ind w:left="720" w:hanging="360"/>
      </w:pPr>
      <w:r w:rsidDel="00000000" w:rsidR="00000000" w:rsidRPr="00000000">
        <w:rPr>
          <w:rtl w:val="0"/>
        </w:rPr>
        <w:t xml:space="preserve">Mice: Dell Optical Mouse MS116 - $8.29 @ </w:t>
      </w:r>
      <w:hyperlink r:id="rId9">
        <w:r w:rsidDel="00000000" w:rsidR="00000000" w:rsidRPr="00000000">
          <w:rPr>
            <w:color w:val="1155cc"/>
            <w:u w:val="single"/>
            <w:rtl w:val="0"/>
          </w:rPr>
          <w:t xml:space="preserve">Amazon</w:t>
        </w:r>
      </w:hyperlink>
      <w:r w:rsidDel="00000000" w:rsidR="00000000" w:rsidRPr="00000000">
        <w:rPr>
          <w:rtl w:val="0"/>
        </w:rPr>
      </w:r>
    </w:p>
    <w:p w:rsidR="00000000" w:rsidDel="00000000" w:rsidP="00000000" w:rsidRDefault="00000000" w:rsidRPr="00000000" w14:paraId="00000169">
      <w:pPr>
        <w:numPr>
          <w:ilvl w:val="0"/>
          <w:numId w:val="9"/>
        </w:numPr>
        <w:ind w:left="720" w:hanging="360"/>
      </w:pPr>
      <w:r w:rsidDel="00000000" w:rsidR="00000000" w:rsidRPr="00000000">
        <w:rPr>
          <w:rtl w:val="0"/>
        </w:rPr>
        <w:t xml:space="preserve">Cabling: Anker HDMI Cable - $9.99 @ </w:t>
      </w:r>
      <w:hyperlink r:id="rId10">
        <w:r w:rsidDel="00000000" w:rsidR="00000000" w:rsidRPr="00000000">
          <w:rPr>
            <w:color w:val="1155cc"/>
            <w:u w:val="single"/>
            <w:rtl w:val="0"/>
          </w:rPr>
          <w:t xml:space="preserve">Amazon</w:t>
        </w:r>
      </w:hyperlink>
      <w:r w:rsidDel="00000000" w:rsidR="00000000" w:rsidRPr="00000000">
        <w:rPr>
          <w:rtl w:val="0"/>
        </w:rPr>
      </w:r>
    </w:p>
    <w:p w:rsidR="00000000" w:rsidDel="00000000" w:rsidP="00000000" w:rsidRDefault="00000000" w:rsidRPr="00000000" w14:paraId="0000016A">
      <w:pPr>
        <w:ind w:left="0" w:firstLine="0"/>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i w:val="1"/>
      <w:i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jc w:val="center"/>
    </w:pPr>
    <w:rPr>
      <w:b w:val="1"/>
      <w:bCs w:val="1"/>
      <w:sz w:val="30"/>
      <w:szCs w:val="30"/>
    </w:rPr>
  </w:style>
  <w:style w:type="paragraph" w:styleId="Subtitle">
    <w:name w:val="Subtitle"/>
    <w:basedOn w:val="Normal"/>
    <w:next w:val="Normal"/>
    <w:pPr>
      <w:keepNext w:val="1"/>
      <w:keepLines w:val="1"/>
    </w:pPr>
    <w:rPr>
      <w:b w:val="1"/>
      <w:bCs w:val="1"/>
      <w:sz w:val="26"/>
      <w:szCs w:val="26"/>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amazon.com/Anker-Certified-High-Speed-Compatible-Playstation/dp/B0CFV3C779/ref=sr_1_3?crid=25V3LIY9RAM24&amp;dib=eyJ2IjoiMSJ9.qBvFq8Oyc0rOG2tMUYyVGDn4H5KNg5yQPj1XXvcTdGGUM_nLJYFcJEQvjXM_uE6Dx5v-anoKm6mEXXaoeOwqFW1lOY4iVwIf62aJH5y9CGyexL_LqSNSsYWX1D_3Y8h_IiaGA6QwJ-AKSaMu-1dnpuSWEMOX_JHpbGHkdwYMB4E66RI1H3Onq0xaS2xY19mFSgrV8cqhMYQ6Wd8Bg0uL6agARTKfx21uAI1KriRxGak.M2yxGDk2xPiC967kopr-MJsXoqq1B1_rTZtrxhlu_4E&amp;dib_tag=se&amp;keywords=hdmi%2Bcable%2Bdell&amp;qid=1774455988&amp;sprefix=hdmi%2Bcable%2Bdell%2Caps%2C164&amp;sr=8-3&amp;th=1" TargetMode="External"/><Relationship Id="rId9" Type="http://schemas.openxmlformats.org/officeDocument/2006/relationships/hyperlink" Target="https://www.amazon.com/Dell-Optical-Mouse-MS116-275-BBCB/dp/B012DT5U96/ref=sr_1_1?crid=2U9CL3FNES0CR&amp;dib=eyJ2IjoiMSJ9.C_9gKaJ_oU424jvKUUQag4P5NFraH9BH8swPgRpzdIXR-C5sdPHm1QeTIokgpilqEgNbU3_X0bkmKTbcAbylAyXoDIroNV-C2eJGWqMFTrYyKWwK04VUkPEhp1HbobexaXjzAzTNptHAqPHpECNzIIEkEU7tYVlk5rYDn2fjrWUSistI6TghYtD48eEojsbuq2HVMn8_75kSkETi0PtTsZifevRK79XUhndE1mfem-U.sCCKg5EDrgWp9Q1O0AgvUqTo8lzJURX-n_BuddEFD2E&amp;dib_tag=se&amp;keywords=dell+mouse&amp;qid=1774455934&amp;sprefix=dell+mous%2Caps%2C170&amp;sr=8-1" TargetMode="External"/><Relationship Id="rId5" Type="http://schemas.openxmlformats.org/officeDocument/2006/relationships/styles" Target="styles.xml"/><Relationship Id="rId6" Type="http://schemas.openxmlformats.org/officeDocument/2006/relationships/hyperlink" Target="https://www.lenovo.com/us/en/p/desktops/thinkcentre/thinkcentre-neo-series/lenovo-thinkcentre-neo-50s-gen-6-intel-sff/len102c0076" TargetMode="External"/><Relationship Id="rId7" Type="http://schemas.openxmlformats.org/officeDocument/2006/relationships/hyperlink" Target="https://www.dell.com/en-us/shop/alienware-34-gaming-monitor-aw3425dwm/apd/210-bpkx/monitors-monitor-accessories" TargetMode="External"/><Relationship Id="rId8" Type="http://schemas.openxmlformats.org/officeDocument/2006/relationships/hyperlink" Target="https://www.amazon.com/Dell-Wired-Keyboard-Black-580-ADMT/dp/B00ZYLMQH0/ref=sr_1_1?crid=LD2G0D5WS1U4&amp;dib=eyJ2IjoiMSJ9.G-VF2NGnHhkwdXxA6BrSBnaiFfDAnkpV8w3ZHkSWr7Me4RN_qvHFQs2UW1aPs9MMn1yXwNgbzdnV5KZkhXzaXAFuJ-jRZ-oDcAecwudnIcR5vZw-F_3_Y6UVcDdcWYW5_zvUVZaEbz_3HclGP97zfYkl23yJWX6Dyk8SWtKWkVFvQfPT9ZZbt_mt5Ox5YSVUSOpTHyJ5K-VvOXViBPyuPQ4RPswkud4ElLCtRLz3D9k.OTIeTH994BpV3gnqvwAATxbCblvHHvJ7Mi_IRC10NjQ&amp;dib_tag=se&amp;keywords=dell+keyboard+kb216p&amp;qid=1774455873&amp;sprefix=dell+keyboard+kb216p%2Caps%2C173&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