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00000001" w14:textId="2E2B35D2" w:rsidR="00031725" w:rsidRDefault="008F2B22">
      <w:r>
        <w:rPr>
          <w:noProof/>
        </w:rPr>
        <w:drawing>
          <wp:anchor distT="0" distB="0" distL="114300" distR="114300" simplePos="0" relativeHeight="251669504" behindDoc="0" locked="0" layoutInCell="1" allowOverlap="1" wp14:anchorId="4ABC7E39" wp14:editId="539B3873">
            <wp:simplePos x="0" y="0"/>
            <wp:positionH relativeFrom="margin">
              <wp:posOffset>-923290</wp:posOffset>
            </wp:positionH>
            <wp:positionV relativeFrom="margin">
              <wp:posOffset>-1601470</wp:posOffset>
            </wp:positionV>
            <wp:extent cx="7590155" cy="10716895"/>
            <wp:effectExtent l="0" t="0" r="4445" b="1905"/>
            <wp:wrapSquare wrapText="bothSides"/>
            <wp:docPr id="281229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229343" name=""/>
                    <pic:cNvPicPr/>
                  </pic:nvPicPr>
                  <pic:blipFill>
                    <a:blip r:embed="rId8">
                      <a:extLst>
                        <a:ext uri="{28A0092B-C50C-407E-A947-70E740481C1C}">
                          <a14:useLocalDpi xmlns:a14="http://schemas.microsoft.com/office/drawing/2010/main" val="0"/>
                        </a:ext>
                      </a:extLst>
                    </a:blip>
                    <a:stretch>
                      <a:fillRect/>
                    </a:stretch>
                  </pic:blipFill>
                  <pic:spPr>
                    <a:xfrm>
                      <a:off x="0" y="0"/>
                      <a:ext cx="7590155" cy="10716895"/>
                    </a:xfrm>
                    <a:prstGeom prst="rect">
                      <a:avLst/>
                    </a:prstGeom>
                  </pic:spPr>
                </pic:pic>
              </a:graphicData>
            </a:graphic>
            <wp14:sizeRelH relativeFrom="page">
              <wp14:pctWidth>0</wp14:pctWidth>
            </wp14:sizeRelH>
            <wp14:sizeRelV relativeFrom="page">
              <wp14:pctHeight>0</wp14:pctHeight>
            </wp14:sizeRelV>
          </wp:anchor>
        </w:drawing>
      </w:r>
      <w:r>
        <w:br w:type="page"/>
      </w:r>
      <w:r>
        <w:rPr>
          <w:b/>
          <w:bCs/>
          <w:color w:val="005B52"/>
          <w:sz w:val="64"/>
          <w:szCs w:val="64"/>
        </w:rPr>
        <w:lastRenderedPageBreak/>
        <w:t>Data Director</w:t>
      </w:r>
    </w:p>
    <w:p w14:paraId="00000002" w14:textId="77777777" w:rsidR="00031725" w:rsidRDefault="00000000">
      <w:r>
        <w:rPr>
          <w:b/>
          <w:bCs/>
          <w:color w:val="005B52"/>
          <w:sz w:val="64"/>
          <w:szCs w:val="64"/>
        </w:rPr>
        <w:t>Agentic AI Tool Blueprint</w:t>
      </w:r>
    </w:p>
    <w:p w14:paraId="00000003" w14:textId="77777777" w:rsidR="00031725" w:rsidRDefault="00031725">
      <w:pPr>
        <w:spacing w:after="60"/>
      </w:pPr>
    </w:p>
    <w:p w14:paraId="00000004" w14:textId="77777777" w:rsidR="00031725" w:rsidRDefault="00000000">
      <w:pPr>
        <w:spacing w:after="80"/>
      </w:pPr>
      <w:r>
        <w:rPr>
          <w:i/>
          <w:iCs/>
          <w:color w:val="1A4A35"/>
          <w:sz w:val="32"/>
          <w:szCs w:val="32"/>
        </w:rPr>
        <w:t>Version 0.1 - DRAFT</w:t>
      </w:r>
    </w:p>
    <w:p w14:paraId="00000005" w14:textId="77777777" w:rsidR="00031725" w:rsidRDefault="00031725">
      <w:pPr>
        <w:pBdr>
          <w:bottom w:val="single" w:sz="6" w:space="2" w:color="005B52"/>
        </w:pBdr>
        <w:spacing w:before="200" w:after="200"/>
      </w:pPr>
    </w:p>
    <w:p w14:paraId="00000006" w14:textId="77777777" w:rsidR="00031725" w:rsidRDefault="00000000">
      <w:pPr>
        <w:spacing w:before="60" w:after="60"/>
      </w:pPr>
      <w:r>
        <w:rPr>
          <w:b/>
          <w:bCs/>
          <w:color w:val="444444"/>
        </w:rPr>
        <w:t xml:space="preserve">Initiative: </w:t>
      </w:r>
      <w:r>
        <w:rPr>
          <w:color w:val="444444"/>
        </w:rPr>
        <w:t>RDA-Microsoft Global Agentic AI Initiative</w:t>
      </w:r>
    </w:p>
    <w:p w14:paraId="00000007" w14:textId="77777777" w:rsidR="00031725" w:rsidRDefault="00000000">
      <w:pPr>
        <w:spacing w:before="60" w:after="60"/>
      </w:pPr>
      <w:r>
        <w:rPr>
          <w:b/>
          <w:bCs/>
          <w:color w:val="444444"/>
        </w:rPr>
        <w:t xml:space="preserve">Status: </w:t>
      </w:r>
      <w:r>
        <w:rPr>
          <w:color w:val="444444"/>
        </w:rPr>
        <w:t xml:space="preserve">First Draft for RDA Community Review </w:t>
      </w:r>
    </w:p>
    <w:p w14:paraId="00000008" w14:textId="77777777" w:rsidR="00031725" w:rsidRDefault="00000000">
      <w:pPr>
        <w:spacing w:before="60" w:after="60"/>
      </w:pPr>
      <w:r>
        <w:rPr>
          <w:b/>
          <w:bCs/>
          <w:color w:val="444444"/>
        </w:rPr>
        <w:t xml:space="preserve">Version: </w:t>
      </w:r>
      <w:r>
        <w:rPr>
          <w:color w:val="444444"/>
        </w:rPr>
        <w:t>0.1</w:t>
      </w:r>
    </w:p>
    <w:p w14:paraId="00000009" w14:textId="77777777" w:rsidR="00031725" w:rsidRDefault="00000000">
      <w:pPr>
        <w:spacing w:before="60" w:after="60"/>
      </w:pPr>
      <w:r>
        <w:rPr>
          <w:b/>
          <w:bCs/>
          <w:color w:val="444444"/>
        </w:rPr>
        <w:t xml:space="preserve">Date: </w:t>
      </w:r>
      <w:r>
        <w:rPr>
          <w:color w:val="444444"/>
        </w:rPr>
        <w:t>June 2026</w:t>
      </w:r>
    </w:p>
    <w:p w14:paraId="0000000A" w14:textId="77777777" w:rsidR="00031725" w:rsidRDefault="00000000">
      <w:pPr>
        <w:spacing w:before="60" w:after="60"/>
        <w:rPr>
          <w:color w:val="444444"/>
        </w:rPr>
      </w:pPr>
      <w:r>
        <w:rPr>
          <w:b/>
          <w:bCs/>
          <w:color w:val="444444"/>
        </w:rPr>
        <w:t xml:space="preserve">Programme Lead: </w:t>
      </w:r>
      <w:r>
        <w:rPr>
          <w:color w:val="444444"/>
        </w:rPr>
        <w:t xml:space="preserve">Connie Clare (RDA) </w:t>
      </w:r>
    </w:p>
    <w:p w14:paraId="0000000B" w14:textId="77777777" w:rsidR="00031725" w:rsidRDefault="00000000">
      <w:pPr>
        <w:spacing w:before="60" w:after="60"/>
        <w:rPr>
          <w:color w:val="444444"/>
        </w:rPr>
      </w:pPr>
      <w:r>
        <w:rPr>
          <w:b/>
          <w:bCs/>
          <w:color w:val="444444"/>
        </w:rPr>
        <w:t xml:space="preserve">Programme Facilitators: </w:t>
      </w:r>
      <w:r>
        <w:rPr>
          <w:color w:val="444444"/>
        </w:rPr>
        <w:t xml:space="preserve">Connie Clare (RDA), George Earl (Microsoft), Trish Radotic (RDA), Benjamin Wright-Jones (Microsoft) </w:t>
      </w:r>
    </w:p>
    <w:p w14:paraId="0000000C" w14:textId="01A9631C" w:rsidR="00031725" w:rsidRDefault="008253CE">
      <w:pPr>
        <w:spacing w:before="60" w:after="60"/>
        <w:rPr>
          <w:color w:val="444444"/>
        </w:rPr>
      </w:pPr>
      <w:r>
        <w:rPr>
          <w:b/>
          <w:bCs/>
          <w:color w:val="444444"/>
        </w:rPr>
        <w:t xml:space="preserve">Blueprint Authors: </w:t>
      </w:r>
      <w:r>
        <w:rPr>
          <w:color w:val="444444"/>
        </w:rPr>
        <w:t xml:space="preserve">See </w:t>
      </w:r>
      <w:hyperlink w:anchor="_Appendix_C:_Acknowledgements" w:history="1">
        <w:r w:rsidR="00031725" w:rsidRPr="00014945">
          <w:rPr>
            <w:rStyle w:val="Hyperlink"/>
          </w:rPr>
          <w:t xml:space="preserve">Appendix C: </w:t>
        </w:r>
        <w:r w:rsidR="00031725" w:rsidRPr="00014945">
          <w:rPr>
            <w:rStyle w:val="Hyperlink"/>
          </w:rPr>
          <w:t>A</w:t>
        </w:r>
        <w:r w:rsidR="00031725" w:rsidRPr="00014945">
          <w:rPr>
            <w:rStyle w:val="Hyperlink"/>
          </w:rPr>
          <w:t>ckno</w:t>
        </w:r>
        <w:r w:rsidR="00031725" w:rsidRPr="00014945">
          <w:rPr>
            <w:rStyle w:val="Hyperlink"/>
          </w:rPr>
          <w:t>w</w:t>
        </w:r>
        <w:r w:rsidR="00031725" w:rsidRPr="00014945">
          <w:rPr>
            <w:rStyle w:val="Hyperlink"/>
          </w:rPr>
          <w:t>ledgements</w:t>
        </w:r>
      </w:hyperlink>
    </w:p>
    <w:p w14:paraId="0000000D" w14:textId="77777777" w:rsidR="00031725" w:rsidRDefault="00031725">
      <w:pPr>
        <w:pBdr>
          <w:bottom w:val="single" w:sz="6" w:space="2" w:color="005B52"/>
        </w:pBdr>
        <w:spacing w:before="200" w:after="200"/>
      </w:pPr>
    </w:p>
    <w:p w14:paraId="0000000E" w14:textId="77777777" w:rsidR="00031725" w:rsidRDefault="00000000">
      <w:pPr>
        <w:sectPr w:rsidR="00031725">
          <w:headerReference w:type="default" r:id="rId9"/>
          <w:headerReference w:type="first" r:id="rId10"/>
          <w:pgSz w:w="11906" w:h="16838"/>
          <w:pgMar w:top="1440" w:right="1440" w:bottom="1440" w:left="1440" w:header="566" w:footer="566" w:gutter="0"/>
          <w:pgNumType w:start="1"/>
          <w:cols w:space="720"/>
          <w:titlePg/>
        </w:sectPr>
      </w:pPr>
      <w:r>
        <w:rPr>
          <w:i/>
          <w:iCs/>
          <w:color w:val="555555"/>
          <w:sz w:val="20"/>
          <w:szCs w:val="20"/>
        </w:rPr>
        <w:t>This document is a community-developed technical specification for the Data Director as an open, technology-agnostic agentic AI tool. It is not a finished product or piece of software. It is freely accessible, transparently developed and governed in line with RDA Guiding Principles.</w:t>
      </w:r>
      <w:r>
        <w:rPr>
          <w:i/>
          <w:iCs/>
          <w:color w:val="555555"/>
          <w:sz w:val="20"/>
          <w:szCs w:val="20"/>
          <w:vertAlign w:val="superscript"/>
        </w:rPr>
        <w:footnoteReference w:id="1"/>
      </w:r>
      <w:r>
        <w:rPr>
          <w:i/>
          <w:iCs/>
          <w:color w:val="555555"/>
          <w:sz w:val="20"/>
          <w:szCs w:val="20"/>
        </w:rPr>
        <w:t xml:space="preserve"> It defines what the Data Director should do and how it should behave, without prescribing any specific AI model, cloud provider or infrastructure stack.</w:t>
      </w:r>
    </w:p>
    <w:p w14:paraId="0000000F" w14:textId="77777777" w:rsidR="00031725" w:rsidRDefault="00000000">
      <w:pPr>
        <w:pBdr>
          <w:bottom w:val="single" w:sz="4" w:space="4" w:color="005B52"/>
        </w:pBdr>
        <w:rPr>
          <w:b/>
          <w:bCs/>
          <w:color w:val="005B52"/>
          <w:sz w:val="36"/>
          <w:szCs w:val="36"/>
        </w:rPr>
      </w:pPr>
      <w:r>
        <w:rPr>
          <w:b/>
          <w:bCs/>
          <w:color w:val="005B52"/>
          <w:sz w:val="36"/>
          <w:szCs w:val="36"/>
        </w:rPr>
        <w:lastRenderedPageBreak/>
        <w:t>Table of Contents</w:t>
      </w:r>
    </w:p>
    <w:sdt>
      <w:sdtPr>
        <w:id w:val="1007405784"/>
        <w:docPartObj>
          <w:docPartGallery w:val="Table of Contents"/>
          <w:docPartUnique/>
        </w:docPartObj>
      </w:sdtPr>
      <w:sdtContent>
        <w:p w14:paraId="2BB7F7EF" w14:textId="65CEA090" w:rsidR="00B11DD7" w:rsidRDefault="00000000">
          <w:pPr>
            <w:pStyle w:val="TOC1"/>
            <w:tabs>
              <w:tab w:val="right" w:pos="9196"/>
            </w:tabs>
            <w:rPr>
              <w:rFonts w:asciiTheme="minorHAnsi" w:eastAsiaTheme="minorEastAsia" w:hAnsiTheme="minorHAnsi" w:cstheme="minorBidi"/>
              <w:noProof/>
              <w:kern w:val="2"/>
              <w:sz w:val="24"/>
              <w:szCs w:val="24"/>
              <w14:ligatures w14:val="standardContextual"/>
            </w:rPr>
          </w:pPr>
          <w:r>
            <w:fldChar w:fldCharType="begin"/>
          </w:r>
          <w:r>
            <w:instrText xml:space="preserve"> TOC \h \u \z \t "Heading 1,1,Heading 2,2,Heading 3,3,Heading 4,4,Heading 5,5,Heading 6,6,"</w:instrText>
          </w:r>
          <w:r>
            <w:fldChar w:fldCharType="separate"/>
          </w:r>
          <w:hyperlink w:anchor="_Toc233654377" w:history="1">
            <w:r w:rsidR="00B11DD7" w:rsidRPr="001947F5">
              <w:rPr>
                <w:rStyle w:val="Hyperlink"/>
                <w:noProof/>
              </w:rPr>
              <w:t>1. Executive Summary</w:t>
            </w:r>
            <w:r w:rsidR="00B11DD7">
              <w:rPr>
                <w:noProof/>
                <w:webHidden/>
              </w:rPr>
              <w:tab/>
            </w:r>
            <w:r w:rsidR="00B11DD7">
              <w:rPr>
                <w:noProof/>
                <w:webHidden/>
              </w:rPr>
              <w:fldChar w:fldCharType="begin"/>
            </w:r>
            <w:r w:rsidR="00B11DD7">
              <w:rPr>
                <w:noProof/>
                <w:webHidden/>
              </w:rPr>
              <w:instrText xml:space="preserve"> PAGEREF _Toc233654377 \h </w:instrText>
            </w:r>
            <w:r w:rsidR="00B11DD7">
              <w:rPr>
                <w:noProof/>
                <w:webHidden/>
              </w:rPr>
            </w:r>
            <w:r w:rsidR="00B11DD7">
              <w:rPr>
                <w:noProof/>
                <w:webHidden/>
              </w:rPr>
              <w:fldChar w:fldCharType="separate"/>
            </w:r>
            <w:r w:rsidR="0008075A">
              <w:rPr>
                <w:noProof/>
                <w:webHidden/>
              </w:rPr>
              <w:t>7</w:t>
            </w:r>
            <w:r w:rsidR="00B11DD7">
              <w:rPr>
                <w:noProof/>
                <w:webHidden/>
              </w:rPr>
              <w:fldChar w:fldCharType="end"/>
            </w:r>
          </w:hyperlink>
        </w:p>
        <w:p w14:paraId="4BAF65AA" w14:textId="48E2931F" w:rsidR="00B11DD7" w:rsidRDefault="00B11DD7">
          <w:pPr>
            <w:pStyle w:val="TOC1"/>
            <w:tabs>
              <w:tab w:val="right" w:pos="9196"/>
            </w:tabs>
            <w:rPr>
              <w:rFonts w:asciiTheme="minorHAnsi" w:eastAsiaTheme="minorEastAsia" w:hAnsiTheme="minorHAnsi" w:cstheme="minorBidi"/>
              <w:noProof/>
              <w:kern w:val="2"/>
              <w:sz w:val="24"/>
              <w:szCs w:val="24"/>
              <w14:ligatures w14:val="standardContextual"/>
            </w:rPr>
          </w:pPr>
          <w:hyperlink w:anchor="_Toc233654378" w:history="1">
            <w:r w:rsidRPr="001947F5">
              <w:rPr>
                <w:rStyle w:val="Hyperlink"/>
                <w:noProof/>
              </w:rPr>
              <w:t>2. Introduction</w:t>
            </w:r>
            <w:r>
              <w:rPr>
                <w:noProof/>
                <w:webHidden/>
              </w:rPr>
              <w:tab/>
            </w:r>
            <w:r>
              <w:rPr>
                <w:noProof/>
                <w:webHidden/>
              </w:rPr>
              <w:fldChar w:fldCharType="begin"/>
            </w:r>
            <w:r>
              <w:rPr>
                <w:noProof/>
                <w:webHidden/>
              </w:rPr>
              <w:instrText xml:space="preserve"> PAGEREF _Toc233654378 \h </w:instrText>
            </w:r>
            <w:r>
              <w:rPr>
                <w:noProof/>
                <w:webHidden/>
              </w:rPr>
            </w:r>
            <w:r>
              <w:rPr>
                <w:noProof/>
                <w:webHidden/>
              </w:rPr>
              <w:fldChar w:fldCharType="separate"/>
            </w:r>
            <w:r w:rsidR="0008075A">
              <w:rPr>
                <w:noProof/>
                <w:webHidden/>
              </w:rPr>
              <w:t>8</w:t>
            </w:r>
            <w:r>
              <w:rPr>
                <w:noProof/>
                <w:webHidden/>
              </w:rPr>
              <w:fldChar w:fldCharType="end"/>
            </w:r>
          </w:hyperlink>
        </w:p>
        <w:p w14:paraId="22DBFC6F" w14:textId="36E0430C" w:rsidR="00B11DD7" w:rsidRDefault="00B11DD7">
          <w:pPr>
            <w:pStyle w:val="TOC2"/>
            <w:tabs>
              <w:tab w:val="right" w:pos="9196"/>
            </w:tabs>
            <w:rPr>
              <w:rFonts w:asciiTheme="minorHAnsi" w:eastAsiaTheme="minorEastAsia" w:hAnsiTheme="minorHAnsi" w:cstheme="minorBidi"/>
              <w:noProof/>
              <w:kern w:val="2"/>
              <w:sz w:val="24"/>
              <w:szCs w:val="24"/>
              <w14:ligatures w14:val="standardContextual"/>
            </w:rPr>
          </w:pPr>
          <w:hyperlink w:anchor="_Toc233654379" w:history="1">
            <w:r w:rsidRPr="001947F5">
              <w:rPr>
                <w:rStyle w:val="Hyperlink"/>
                <w:noProof/>
              </w:rPr>
              <w:t>2.1 About the Working Group</w:t>
            </w:r>
            <w:r>
              <w:rPr>
                <w:noProof/>
                <w:webHidden/>
              </w:rPr>
              <w:tab/>
            </w:r>
            <w:r>
              <w:rPr>
                <w:noProof/>
                <w:webHidden/>
              </w:rPr>
              <w:fldChar w:fldCharType="begin"/>
            </w:r>
            <w:r>
              <w:rPr>
                <w:noProof/>
                <w:webHidden/>
              </w:rPr>
              <w:instrText xml:space="preserve"> PAGEREF _Toc233654379 \h </w:instrText>
            </w:r>
            <w:r>
              <w:rPr>
                <w:noProof/>
                <w:webHidden/>
              </w:rPr>
            </w:r>
            <w:r>
              <w:rPr>
                <w:noProof/>
                <w:webHidden/>
              </w:rPr>
              <w:fldChar w:fldCharType="separate"/>
            </w:r>
            <w:r w:rsidR="0008075A">
              <w:rPr>
                <w:noProof/>
                <w:webHidden/>
              </w:rPr>
              <w:t>8</w:t>
            </w:r>
            <w:r>
              <w:rPr>
                <w:noProof/>
                <w:webHidden/>
              </w:rPr>
              <w:fldChar w:fldCharType="end"/>
            </w:r>
          </w:hyperlink>
        </w:p>
        <w:p w14:paraId="6C6FE159" w14:textId="42230D5A" w:rsidR="00B11DD7" w:rsidRDefault="00B11DD7">
          <w:pPr>
            <w:pStyle w:val="TOC2"/>
            <w:tabs>
              <w:tab w:val="right" w:pos="9196"/>
            </w:tabs>
            <w:rPr>
              <w:rFonts w:asciiTheme="minorHAnsi" w:eastAsiaTheme="minorEastAsia" w:hAnsiTheme="minorHAnsi" w:cstheme="minorBidi"/>
              <w:noProof/>
              <w:kern w:val="2"/>
              <w:sz w:val="24"/>
              <w:szCs w:val="24"/>
              <w14:ligatures w14:val="standardContextual"/>
            </w:rPr>
          </w:pPr>
          <w:hyperlink w:anchor="_Toc233654380" w:history="1">
            <w:r w:rsidRPr="001947F5">
              <w:rPr>
                <w:rStyle w:val="Hyperlink"/>
                <w:noProof/>
              </w:rPr>
              <w:t>2.2 Purpose and Scope</w:t>
            </w:r>
            <w:r>
              <w:rPr>
                <w:noProof/>
                <w:webHidden/>
              </w:rPr>
              <w:tab/>
            </w:r>
            <w:r>
              <w:rPr>
                <w:noProof/>
                <w:webHidden/>
              </w:rPr>
              <w:fldChar w:fldCharType="begin"/>
            </w:r>
            <w:r>
              <w:rPr>
                <w:noProof/>
                <w:webHidden/>
              </w:rPr>
              <w:instrText xml:space="preserve"> PAGEREF _Toc233654380 \h </w:instrText>
            </w:r>
            <w:r>
              <w:rPr>
                <w:noProof/>
                <w:webHidden/>
              </w:rPr>
            </w:r>
            <w:r>
              <w:rPr>
                <w:noProof/>
                <w:webHidden/>
              </w:rPr>
              <w:fldChar w:fldCharType="separate"/>
            </w:r>
            <w:r w:rsidR="0008075A">
              <w:rPr>
                <w:noProof/>
                <w:webHidden/>
              </w:rPr>
              <w:t>8</w:t>
            </w:r>
            <w:r>
              <w:rPr>
                <w:noProof/>
                <w:webHidden/>
              </w:rPr>
              <w:fldChar w:fldCharType="end"/>
            </w:r>
          </w:hyperlink>
        </w:p>
        <w:p w14:paraId="1B2507EC" w14:textId="5E864194" w:rsidR="00B11DD7" w:rsidRDefault="00B11DD7">
          <w:pPr>
            <w:pStyle w:val="TOC2"/>
            <w:tabs>
              <w:tab w:val="right" w:pos="9196"/>
            </w:tabs>
            <w:rPr>
              <w:rFonts w:asciiTheme="minorHAnsi" w:eastAsiaTheme="minorEastAsia" w:hAnsiTheme="minorHAnsi" w:cstheme="minorBidi"/>
              <w:noProof/>
              <w:kern w:val="2"/>
              <w:sz w:val="24"/>
              <w:szCs w:val="24"/>
              <w14:ligatures w14:val="standardContextual"/>
            </w:rPr>
          </w:pPr>
          <w:hyperlink w:anchor="_Toc233654381" w:history="1">
            <w:r w:rsidRPr="001947F5">
              <w:rPr>
                <w:rStyle w:val="Hyperlink"/>
                <w:noProof/>
              </w:rPr>
              <w:t>2.3 What is an Open, Technology-Agnostic Blueprint?</w:t>
            </w:r>
            <w:r>
              <w:rPr>
                <w:noProof/>
                <w:webHidden/>
              </w:rPr>
              <w:tab/>
            </w:r>
            <w:r>
              <w:rPr>
                <w:noProof/>
                <w:webHidden/>
              </w:rPr>
              <w:fldChar w:fldCharType="begin"/>
            </w:r>
            <w:r>
              <w:rPr>
                <w:noProof/>
                <w:webHidden/>
              </w:rPr>
              <w:instrText xml:space="preserve"> PAGEREF _Toc233654381 \h </w:instrText>
            </w:r>
            <w:r>
              <w:rPr>
                <w:noProof/>
                <w:webHidden/>
              </w:rPr>
            </w:r>
            <w:r>
              <w:rPr>
                <w:noProof/>
                <w:webHidden/>
              </w:rPr>
              <w:fldChar w:fldCharType="separate"/>
            </w:r>
            <w:r w:rsidR="0008075A">
              <w:rPr>
                <w:noProof/>
                <w:webHidden/>
              </w:rPr>
              <w:t>9</w:t>
            </w:r>
            <w:r>
              <w:rPr>
                <w:noProof/>
                <w:webHidden/>
              </w:rPr>
              <w:fldChar w:fldCharType="end"/>
            </w:r>
          </w:hyperlink>
        </w:p>
        <w:p w14:paraId="76ADB47C" w14:textId="7E19E24E" w:rsidR="00B11DD7" w:rsidRDefault="00B11DD7">
          <w:pPr>
            <w:pStyle w:val="TOC2"/>
            <w:tabs>
              <w:tab w:val="right" w:pos="9196"/>
            </w:tabs>
            <w:rPr>
              <w:rFonts w:asciiTheme="minorHAnsi" w:eastAsiaTheme="minorEastAsia" w:hAnsiTheme="minorHAnsi" w:cstheme="minorBidi"/>
              <w:noProof/>
              <w:kern w:val="2"/>
              <w:sz w:val="24"/>
              <w:szCs w:val="24"/>
              <w14:ligatures w14:val="standardContextual"/>
            </w:rPr>
          </w:pPr>
          <w:hyperlink w:anchor="_Toc233654382" w:history="1">
            <w:r w:rsidRPr="001947F5">
              <w:rPr>
                <w:rStyle w:val="Hyperlink"/>
                <w:noProof/>
              </w:rPr>
              <w:t>2.4 The Data Director: Tool Definition</w:t>
            </w:r>
            <w:r>
              <w:rPr>
                <w:noProof/>
                <w:webHidden/>
              </w:rPr>
              <w:tab/>
            </w:r>
            <w:r>
              <w:rPr>
                <w:noProof/>
                <w:webHidden/>
              </w:rPr>
              <w:fldChar w:fldCharType="begin"/>
            </w:r>
            <w:r>
              <w:rPr>
                <w:noProof/>
                <w:webHidden/>
              </w:rPr>
              <w:instrText xml:space="preserve"> PAGEREF _Toc233654382 \h </w:instrText>
            </w:r>
            <w:r>
              <w:rPr>
                <w:noProof/>
                <w:webHidden/>
              </w:rPr>
            </w:r>
            <w:r>
              <w:rPr>
                <w:noProof/>
                <w:webHidden/>
              </w:rPr>
              <w:fldChar w:fldCharType="separate"/>
            </w:r>
            <w:r w:rsidR="0008075A">
              <w:rPr>
                <w:noProof/>
                <w:webHidden/>
              </w:rPr>
              <w:t>9</w:t>
            </w:r>
            <w:r>
              <w:rPr>
                <w:noProof/>
                <w:webHidden/>
              </w:rPr>
              <w:fldChar w:fldCharType="end"/>
            </w:r>
          </w:hyperlink>
        </w:p>
        <w:p w14:paraId="00F1EB64" w14:textId="58F2E70D" w:rsidR="00B11DD7" w:rsidRDefault="00B11DD7">
          <w:pPr>
            <w:pStyle w:val="TOC2"/>
            <w:tabs>
              <w:tab w:val="right" w:pos="9196"/>
            </w:tabs>
            <w:rPr>
              <w:rFonts w:asciiTheme="minorHAnsi" w:eastAsiaTheme="minorEastAsia" w:hAnsiTheme="minorHAnsi" w:cstheme="minorBidi"/>
              <w:noProof/>
              <w:kern w:val="2"/>
              <w:sz w:val="24"/>
              <w:szCs w:val="24"/>
              <w14:ligatures w14:val="standardContextual"/>
            </w:rPr>
          </w:pPr>
          <w:hyperlink w:anchor="_Toc233654383" w:history="1">
            <w:r w:rsidRPr="001947F5">
              <w:rPr>
                <w:rStyle w:val="Hyperlink"/>
                <w:noProof/>
              </w:rPr>
              <w:t>2.5 Intended Users</w:t>
            </w:r>
            <w:r>
              <w:rPr>
                <w:noProof/>
                <w:webHidden/>
              </w:rPr>
              <w:tab/>
            </w:r>
            <w:r>
              <w:rPr>
                <w:noProof/>
                <w:webHidden/>
              </w:rPr>
              <w:fldChar w:fldCharType="begin"/>
            </w:r>
            <w:r>
              <w:rPr>
                <w:noProof/>
                <w:webHidden/>
              </w:rPr>
              <w:instrText xml:space="preserve"> PAGEREF _Toc233654383 \h </w:instrText>
            </w:r>
            <w:r>
              <w:rPr>
                <w:noProof/>
                <w:webHidden/>
              </w:rPr>
            </w:r>
            <w:r>
              <w:rPr>
                <w:noProof/>
                <w:webHidden/>
              </w:rPr>
              <w:fldChar w:fldCharType="separate"/>
            </w:r>
            <w:r w:rsidR="0008075A">
              <w:rPr>
                <w:noProof/>
                <w:webHidden/>
              </w:rPr>
              <w:t>10</w:t>
            </w:r>
            <w:r>
              <w:rPr>
                <w:noProof/>
                <w:webHidden/>
              </w:rPr>
              <w:fldChar w:fldCharType="end"/>
            </w:r>
          </w:hyperlink>
        </w:p>
        <w:p w14:paraId="5BE015D9" w14:textId="28BBE214" w:rsidR="00B11DD7" w:rsidRDefault="00B11DD7">
          <w:pPr>
            <w:pStyle w:val="TOC1"/>
            <w:tabs>
              <w:tab w:val="right" w:pos="9196"/>
            </w:tabs>
            <w:rPr>
              <w:rFonts w:asciiTheme="minorHAnsi" w:eastAsiaTheme="minorEastAsia" w:hAnsiTheme="minorHAnsi" w:cstheme="minorBidi"/>
              <w:noProof/>
              <w:kern w:val="2"/>
              <w:sz w:val="24"/>
              <w:szCs w:val="24"/>
              <w14:ligatures w14:val="standardContextual"/>
            </w:rPr>
          </w:pPr>
          <w:hyperlink w:anchor="_Toc233654384" w:history="1">
            <w:r w:rsidRPr="001947F5">
              <w:rPr>
                <w:rStyle w:val="Hyperlink"/>
                <w:noProof/>
              </w:rPr>
              <w:t>3. Problem Definition</w:t>
            </w:r>
            <w:r>
              <w:rPr>
                <w:noProof/>
                <w:webHidden/>
              </w:rPr>
              <w:tab/>
            </w:r>
            <w:r>
              <w:rPr>
                <w:noProof/>
                <w:webHidden/>
              </w:rPr>
              <w:fldChar w:fldCharType="begin"/>
            </w:r>
            <w:r>
              <w:rPr>
                <w:noProof/>
                <w:webHidden/>
              </w:rPr>
              <w:instrText xml:space="preserve"> PAGEREF _Toc233654384 \h </w:instrText>
            </w:r>
            <w:r>
              <w:rPr>
                <w:noProof/>
                <w:webHidden/>
              </w:rPr>
            </w:r>
            <w:r>
              <w:rPr>
                <w:noProof/>
                <w:webHidden/>
              </w:rPr>
              <w:fldChar w:fldCharType="separate"/>
            </w:r>
            <w:r w:rsidR="0008075A">
              <w:rPr>
                <w:noProof/>
                <w:webHidden/>
              </w:rPr>
              <w:t>10</w:t>
            </w:r>
            <w:r>
              <w:rPr>
                <w:noProof/>
                <w:webHidden/>
              </w:rPr>
              <w:fldChar w:fldCharType="end"/>
            </w:r>
          </w:hyperlink>
        </w:p>
        <w:p w14:paraId="3EB2FA5A" w14:textId="157911BF" w:rsidR="00B11DD7" w:rsidRDefault="00B11DD7">
          <w:pPr>
            <w:pStyle w:val="TOC2"/>
            <w:tabs>
              <w:tab w:val="right" w:pos="9196"/>
            </w:tabs>
            <w:rPr>
              <w:rFonts w:asciiTheme="minorHAnsi" w:eastAsiaTheme="minorEastAsia" w:hAnsiTheme="minorHAnsi" w:cstheme="minorBidi"/>
              <w:noProof/>
              <w:kern w:val="2"/>
              <w:sz w:val="24"/>
              <w:szCs w:val="24"/>
              <w14:ligatures w14:val="standardContextual"/>
            </w:rPr>
          </w:pPr>
          <w:hyperlink w:anchor="_Toc233654385" w:history="1">
            <w:r w:rsidRPr="001947F5">
              <w:rPr>
                <w:rStyle w:val="Hyperlink"/>
                <w:noProof/>
              </w:rPr>
              <w:t>3.1 The Research Data Challenge</w:t>
            </w:r>
            <w:r>
              <w:rPr>
                <w:noProof/>
                <w:webHidden/>
              </w:rPr>
              <w:tab/>
            </w:r>
            <w:r>
              <w:rPr>
                <w:noProof/>
                <w:webHidden/>
              </w:rPr>
              <w:fldChar w:fldCharType="begin"/>
            </w:r>
            <w:r>
              <w:rPr>
                <w:noProof/>
                <w:webHidden/>
              </w:rPr>
              <w:instrText xml:space="preserve"> PAGEREF _Toc233654385 \h </w:instrText>
            </w:r>
            <w:r>
              <w:rPr>
                <w:noProof/>
                <w:webHidden/>
              </w:rPr>
            </w:r>
            <w:r>
              <w:rPr>
                <w:noProof/>
                <w:webHidden/>
              </w:rPr>
              <w:fldChar w:fldCharType="separate"/>
            </w:r>
            <w:r w:rsidR="0008075A">
              <w:rPr>
                <w:noProof/>
                <w:webHidden/>
              </w:rPr>
              <w:t>10</w:t>
            </w:r>
            <w:r>
              <w:rPr>
                <w:noProof/>
                <w:webHidden/>
              </w:rPr>
              <w:fldChar w:fldCharType="end"/>
            </w:r>
          </w:hyperlink>
        </w:p>
        <w:p w14:paraId="733B2FCD" w14:textId="0B566C2A" w:rsidR="00B11DD7" w:rsidRDefault="00B11DD7">
          <w:pPr>
            <w:pStyle w:val="TOC3"/>
            <w:tabs>
              <w:tab w:val="right" w:pos="9196"/>
            </w:tabs>
            <w:rPr>
              <w:rFonts w:asciiTheme="minorHAnsi" w:eastAsiaTheme="minorEastAsia" w:hAnsiTheme="minorHAnsi" w:cstheme="minorBidi"/>
              <w:noProof/>
              <w:kern w:val="2"/>
              <w:sz w:val="24"/>
              <w:szCs w:val="24"/>
              <w14:ligatures w14:val="standardContextual"/>
            </w:rPr>
          </w:pPr>
          <w:hyperlink w:anchor="_Toc233654386" w:history="1">
            <w:r w:rsidRPr="001947F5">
              <w:rPr>
                <w:rStyle w:val="Hyperlink"/>
                <w:noProof/>
              </w:rPr>
              <w:t>3.1.1 Core Gaps: Directly addressed by the Data Director</w:t>
            </w:r>
            <w:r>
              <w:rPr>
                <w:noProof/>
                <w:webHidden/>
              </w:rPr>
              <w:tab/>
            </w:r>
            <w:r>
              <w:rPr>
                <w:noProof/>
                <w:webHidden/>
              </w:rPr>
              <w:fldChar w:fldCharType="begin"/>
            </w:r>
            <w:r>
              <w:rPr>
                <w:noProof/>
                <w:webHidden/>
              </w:rPr>
              <w:instrText xml:space="preserve"> PAGEREF _Toc233654386 \h </w:instrText>
            </w:r>
            <w:r>
              <w:rPr>
                <w:noProof/>
                <w:webHidden/>
              </w:rPr>
            </w:r>
            <w:r>
              <w:rPr>
                <w:noProof/>
                <w:webHidden/>
              </w:rPr>
              <w:fldChar w:fldCharType="separate"/>
            </w:r>
            <w:r w:rsidR="0008075A">
              <w:rPr>
                <w:noProof/>
                <w:webHidden/>
              </w:rPr>
              <w:t>11</w:t>
            </w:r>
            <w:r>
              <w:rPr>
                <w:noProof/>
                <w:webHidden/>
              </w:rPr>
              <w:fldChar w:fldCharType="end"/>
            </w:r>
          </w:hyperlink>
        </w:p>
        <w:p w14:paraId="40A5B4E6" w14:textId="09FB5FC0" w:rsidR="00B11DD7" w:rsidRDefault="00B11DD7">
          <w:pPr>
            <w:pStyle w:val="TOC3"/>
            <w:tabs>
              <w:tab w:val="right" w:pos="9196"/>
            </w:tabs>
            <w:rPr>
              <w:rFonts w:asciiTheme="minorHAnsi" w:eastAsiaTheme="minorEastAsia" w:hAnsiTheme="minorHAnsi" w:cstheme="minorBidi"/>
              <w:noProof/>
              <w:kern w:val="2"/>
              <w:sz w:val="24"/>
              <w:szCs w:val="24"/>
              <w14:ligatures w14:val="standardContextual"/>
            </w:rPr>
          </w:pPr>
          <w:hyperlink w:anchor="_Toc233654387" w:history="1">
            <w:r w:rsidRPr="001947F5">
              <w:rPr>
                <w:rStyle w:val="Hyperlink"/>
                <w:noProof/>
              </w:rPr>
              <w:t>3.1.2 Boundary Conditions: Gaps that shape how the Data Director should behave</w:t>
            </w:r>
            <w:r>
              <w:rPr>
                <w:noProof/>
                <w:webHidden/>
              </w:rPr>
              <w:tab/>
            </w:r>
            <w:r>
              <w:rPr>
                <w:noProof/>
                <w:webHidden/>
              </w:rPr>
              <w:fldChar w:fldCharType="begin"/>
            </w:r>
            <w:r>
              <w:rPr>
                <w:noProof/>
                <w:webHidden/>
              </w:rPr>
              <w:instrText xml:space="preserve"> PAGEREF _Toc233654387 \h </w:instrText>
            </w:r>
            <w:r>
              <w:rPr>
                <w:noProof/>
                <w:webHidden/>
              </w:rPr>
            </w:r>
            <w:r>
              <w:rPr>
                <w:noProof/>
                <w:webHidden/>
              </w:rPr>
              <w:fldChar w:fldCharType="separate"/>
            </w:r>
            <w:r w:rsidR="0008075A">
              <w:rPr>
                <w:noProof/>
                <w:webHidden/>
              </w:rPr>
              <w:t>13</w:t>
            </w:r>
            <w:r>
              <w:rPr>
                <w:noProof/>
                <w:webHidden/>
              </w:rPr>
              <w:fldChar w:fldCharType="end"/>
            </w:r>
          </w:hyperlink>
        </w:p>
        <w:p w14:paraId="3019A4E9" w14:textId="6E270888" w:rsidR="00B11DD7" w:rsidRDefault="00B11DD7">
          <w:pPr>
            <w:pStyle w:val="TOC3"/>
            <w:tabs>
              <w:tab w:val="right" w:pos="9196"/>
            </w:tabs>
            <w:rPr>
              <w:rFonts w:asciiTheme="minorHAnsi" w:eastAsiaTheme="minorEastAsia" w:hAnsiTheme="minorHAnsi" w:cstheme="minorBidi"/>
              <w:noProof/>
              <w:kern w:val="2"/>
              <w:sz w:val="24"/>
              <w:szCs w:val="24"/>
              <w14:ligatures w14:val="standardContextual"/>
            </w:rPr>
          </w:pPr>
          <w:hyperlink w:anchor="_Toc233654388" w:history="1">
            <w:r w:rsidRPr="001947F5">
              <w:rPr>
                <w:rStyle w:val="Hyperlink"/>
                <w:noProof/>
              </w:rPr>
              <w:t>3.1.3 Acknowledged Gaps: Not directly addressed by the Data Director</w:t>
            </w:r>
            <w:r>
              <w:rPr>
                <w:noProof/>
                <w:webHidden/>
              </w:rPr>
              <w:tab/>
            </w:r>
            <w:r>
              <w:rPr>
                <w:noProof/>
                <w:webHidden/>
              </w:rPr>
              <w:fldChar w:fldCharType="begin"/>
            </w:r>
            <w:r>
              <w:rPr>
                <w:noProof/>
                <w:webHidden/>
              </w:rPr>
              <w:instrText xml:space="preserve"> PAGEREF _Toc233654388 \h </w:instrText>
            </w:r>
            <w:r>
              <w:rPr>
                <w:noProof/>
                <w:webHidden/>
              </w:rPr>
            </w:r>
            <w:r>
              <w:rPr>
                <w:noProof/>
                <w:webHidden/>
              </w:rPr>
              <w:fldChar w:fldCharType="separate"/>
            </w:r>
            <w:r w:rsidR="0008075A">
              <w:rPr>
                <w:noProof/>
                <w:webHidden/>
              </w:rPr>
              <w:t>14</w:t>
            </w:r>
            <w:r>
              <w:rPr>
                <w:noProof/>
                <w:webHidden/>
              </w:rPr>
              <w:fldChar w:fldCharType="end"/>
            </w:r>
          </w:hyperlink>
        </w:p>
        <w:p w14:paraId="62D851D0" w14:textId="2F40828B" w:rsidR="00B11DD7" w:rsidRDefault="00B11DD7">
          <w:pPr>
            <w:pStyle w:val="TOC2"/>
            <w:tabs>
              <w:tab w:val="right" w:pos="9196"/>
            </w:tabs>
            <w:rPr>
              <w:rFonts w:asciiTheme="minorHAnsi" w:eastAsiaTheme="minorEastAsia" w:hAnsiTheme="minorHAnsi" w:cstheme="minorBidi"/>
              <w:noProof/>
              <w:kern w:val="2"/>
              <w:sz w:val="24"/>
              <w:szCs w:val="24"/>
              <w14:ligatures w14:val="standardContextual"/>
            </w:rPr>
          </w:pPr>
          <w:hyperlink w:anchor="_Toc233654389" w:history="1">
            <w:r w:rsidRPr="001947F5">
              <w:rPr>
                <w:rStyle w:val="Hyperlink"/>
                <w:noProof/>
              </w:rPr>
              <w:t>3.2 Vision and Goals</w:t>
            </w:r>
            <w:r>
              <w:rPr>
                <w:noProof/>
                <w:webHidden/>
              </w:rPr>
              <w:tab/>
            </w:r>
            <w:r>
              <w:rPr>
                <w:noProof/>
                <w:webHidden/>
              </w:rPr>
              <w:fldChar w:fldCharType="begin"/>
            </w:r>
            <w:r>
              <w:rPr>
                <w:noProof/>
                <w:webHidden/>
              </w:rPr>
              <w:instrText xml:space="preserve"> PAGEREF _Toc233654389 \h </w:instrText>
            </w:r>
            <w:r>
              <w:rPr>
                <w:noProof/>
                <w:webHidden/>
              </w:rPr>
            </w:r>
            <w:r>
              <w:rPr>
                <w:noProof/>
                <w:webHidden/>
              </w:rPr>
              <w:fldChar w:fldCharType="separate"/>
            </w:r>
            <w:r w:rsidR="0008075A">
              <w:rPr>
                <w:noProof/>
                <w:webHidden/>
              </w:rPr>
              <w:t>15</w:t>
            </w:r>
            <w:r>
              <w:rPr>
                <w:noProof/>
                <w:webHidden/>
              </w:rPr>
              <w:fldChar w:fldCharType="end"/>
            </w:r>
          </w:hyperlink>
        </w:p>
        <w:p w14:paraId="1FC78A3B" w14:textId="2A63041A" w:rsidR="00B11DD7" w:rsidRDefault="00B11DD7">
          <w:pPr>
            <w:pStyle w:val="TOC2"/>
            <w:tabs>
              <w:tab w:val="right" w:pos="9196"/>
            </w:tabs>
            <w:rPr>
              <w:rFonts w:asciiTheme="minorHAnsi" w:eastAsiaTheme="minorEastAsia" w:hAnsiTheme="minorHAnsi" w:cstheme="minorBidi"/>
              <w:noProof/>
              <w:kern w:val="2"/>
              <w:sz w:val="24"/>
              <w:szCs w:val="24"/>
              <w14:ligatures w14:val="standardContextual"/>
            </w:rPr>
          </w:pPr>
          <w:hyperlink w:anchor="_Toc233654390" w:history="1">
            <w:r w:rsidRPr="001947F5">
              <w:rPr>
                <w:rStyle w:val="Hyperlink"/>
                <w:noProof/>
              </w:rPr>
              <w:t>3.3 Out of Scope</w:t>
            </w:r>
            <w:r>
              <w:rPr>
                <w:noProof/>
                <w:webHidden/>
              </w:rPr>
              <w:tab/>
            </w:r>
            <w:r>
              <w:rPr>
                <w:noProof/>
                <w:webHidden/>
              </w:rPr>
              <w:fldChar w:fldCharType="begin"/>
            </w:r>
            <w:r>
              <w:rPr>
                <w:noProof/>
                <w:webHidden/>
              </w:rPr>
              <w:instrText xml:space="preserve"> PAGEREF _Toc233654390 \h </w:instrText>
            </w:r>
            <w:r>
              <w:rPr>
                <w:noProof/>
                <w:webHidden/>
              </w:rPr>
            </w:r>
            <w:r>
              <w:rPr>
                <w:noProof/>
                <w:webHidden/>
              </w:rPr>
              <w:fldChar w:fldCharType="separate"/>
            </w:r>
            <w:r w:rsidR="0008075A">
              <w:rPr>
                <w:noProof/>
                <w:webHidden/>
              </w:rPr>
              <w:t>16</w:t>
            </w:r>
            <w:r>
              <w:rPr>
                <w:noProof/>
                <w:webHidden/>
              </w:rPr>
              <w:fldChar w:fldCharType="end"/>
            </w:r>
          </w:hyperlink>
        </w:p>
        <w:p w14:paraId="450EC1F7" w14:textId="479007D7" w:rsidR="00B11DD7" w:rsidRDefault="00B11DD7">
          <w:pPr>
            <w:pStyle w:val="TOC1"/>
            <w:tabs>
              <w:tab w:val="right" w:pos="9196"/>
            </w:tabs>
            <w:rPr>
              <w:rFonts w:asciiTheme="minorHAnsi" w:eastAsiaTheme="minorEastAsia" w:hAnsiTheme="minorHAnsi" w:cstheme="minorBidi"/>
              <w:noProof/>
              <w:kern w:val="2"/>
              <w:sz w:val="24"/>
              <w:szCs w:val="24"/>
              <w14:ligatures w14:val="standardContextual"/>
            </w:rPr>
          </w:pPr>
          <w:hyperlink w:anchor="_Toc233654391" w:history="1">
            <w:r w:rsidRPr="001947F5">
              <w:rPr>
                <w:rStyle w:val="Hyperlink"/>
                <w:noProof/>
              </w:rPr>
              <w:t>4. Research Context</w:t>
            </w:r>
            <w:r>
              <w:rPr>
                <w:noProof/>
                <w:webHidden/>
              </w:rPr>
              <w:tab/>
            </w:r>
            <w:r>
              <w:rPr>
                <w:noProof/>
                <w:webHidden/>
              </w:rPr>
              <w:fldChar w:fldCharType="begin"/>
            </w:r>
            <w:r>
              <w:rPr>
                <w:noProof/>
                <w:webHidden/>
              </w:rPr>
              <w:instrText xml:space="preserve"> PAGEREF _Toc233654391 \h </w:instrText>
            </w:r>
            <w:r>
              <w:rPr>
                <w:noProof/>
                <w:webHidden/>
              </w:rPr>
            </w:r>
            <w:r>
              <w:rPr>
                <w:noProof/>
                <w:webHidden/>
              </w:rPr>
              <w:fldChar w:fldCharType="separate"/>
            </w:r>
            <w:r w:rsidR="0008075A">
              <w:rPr>
                <w:noProof/>
                <w:webHidden/>
              </w:rPr>
              <w:t>16</w:t>
            </w:r>
            <w:r>
              <w:rPr>
                <w:noProof/>
                <w:webHidden/>
              </w:rPr>
              <w:fldChar w:fldCharType="end"/>
            </w:r>
          </w:hyperlink>
        </w:p>
        <w:p w14:paraId="6233F3F9" w14:textId="6BE903F8" w:rsidR="00B11DD7" w:rsidRDefault="00B11DD7">
          <w:pPr>
            <w:pStyle w:val="TOC2"/>
            <w:tabs>
              <w:tab w:val="right" w:pos="9196"/>
            </w:tabs>
            <w:rPr>
              <w:rFonts w:asciiTheme="minorHAnsi" w:eastAsiaTheme="minorEastAsia" w:hAnsiTheme="minorHAnsi" w:cstheme="minorBidi"/>
              <w:noProof/>
              <w:kern w:val="2"/>
              <w:sz w:val="24"/>
              <w:szCs w:val="24"/>
              <w14:ligatures w14:val="standardContextual"/>
            </w:rPr>
          </w:pPr>
          <w:hyperlink w:anchor="_Toc233654392" w:history="1">
            <w:r w:rsidRPr="001947F5">
              <w:rPr>
                <w:rStyle w:val="Hyperlink"/>
                <w:noProof/>
              </w:rPr>
              <w:t>4.1 Uses, Users and Expected Outcomes</w:t>
            </w:r>
            <w:r>
              <w:rPr>
                <w:noProof/>
                <w:webHidden/>
              </w:rPr>
              <w:tab/>
            </w:r>
            <w:r>
              <w:rPr>
                <w:noProof/>
                <w:webHidden/>
              </w:rPr>
              <w:fldChar w:fldCharType="begin"/>
            </w:r>
            <w:r>
              <w:rPr>
                <w:noProof/>
                <w:webHidden/>
              </w:rPr>
              <w:instrText xml:space="preserve"> PAGEREF _Toc233654392 \h </w:instrText>
            </w:r>
            <w:r>
              <w:rPr>
                <w:noProof/>
                <w:webHidden/>
              </w:rPr>
            </w:r>
            <w:r>
              <w:rPr>
                <w:noProof/>
                <w:webHidden/>
              </w:rPr>
              <w:fldChar w:fldCharType="separate"/>
            </w:r>
            <w:r w:rsidR="0008075A">
              <w:rPr>
                <w:noProof/>
                <w:webHidden/>
              </w:rPr>
              <w:t>16</w:t>
            </w:r>
            <w:r>
              <w:rPr>
                <w:noProof/>
                <w:webHidden/>
              </w:rPr>
              <w:fldChar w:fldCharType="end"/>
            </w:r>
          </w:hyperlink>
        </w:p>
        <w:p w14:paraId="7E239017" w14:textId="6936FAB4" w:rsidR="00B11DD7" w:rsidRDefault="00B11DD7">
          <w:pPr>
            <w:pStyle w:val="TOC1"/>
            <w:tabs>
              <w:tab w:val="right" w:pos="9196"/>
            </w:tabs>
            <w:rPr>
              <w:rFonts w:asciiTheme="minorHAnsi" w:eastAsiaTheme="minorEastAsia" w:hAnsiTheme="minorHAnsi" w:cstheme="minorBidi"/>
              <w:noProof/>
              <w:kern w:val="2"/>
              <w:sz w:val="24"/>
              <w:szCs w:val="24"/>
              <w14:ligatures w14:val="standardContextual"/>
            </w:rPr>
          </w:pPr>
          <w:hyperlink w:anchor="_Toc233654393" w:history="1">
            <w:r w:rsidRPr="001947F5">
              <w:rPr>
                <w:rStyle w:val="Hyperlink"/>
                <w:noProof/>
              </w:rPr>
              <w:t>5. Blueprint Considerations</w:t>
            </w:r>
            <w:r>
              <w:rPr>
                <w:noProof/>
                <w:webHidden/>
              </w:rPr>
              <w:tab/>
            </w:r>
            <w:r>
              <w:rPr>
                <w:noProof/>
                <w:webHidden/>
              </w:rPr>
              <w:fldChar w:fldCharType="begin"/>
            </w:r>
            <w:r>
              <w:rPr>
                <w:noProof/>
                <w:webHidden/>
              </w:rPr>
              <w:instrText xml:space="preserve"> PAGEREF _Toc233654393 \h </w:instrText>
            </w:r>
            <w:r>
              <w:rPr>
                <w:noProof/>
                <w:webHidden/>
              </w:rPr>
            </w:r>
            <w:r>
              <w:rPr>
                <w:noProof/>
                <w:webHidden/>
              </w:rPr>
              <w:fldChar w:fldCharType="separate"/>
            </w:r>
            <w:r w:rsidR="0008075A">
              <w:rPr>
                <w:noProof/>
                <w:webHidden/>
              </w:rPr>
              <w:t>26</w:t>
            </w:r>
            <w:r>
              <w:rPr>
                <w:noProof/>
                <w:webHidden/>
              </w:rPr>
              <w:fldChar w:fldCharType="end"/>
            </w:r>
          </w:hyperlink>
        </w:p>
        <w:p w14:paraId="355BAD21" w14:textId="1E8C8CB7" w:rsidR="00B11DD7" w:rsidRDefault="00B11DD7">
          <w:pPr>
            <w:pStyle w:val="TOC2"/>
            <w:tabs>
              <w:tab w:val="right" w:pos="9196"/>
            </w:tabs>
            <w:rPr>
              <w:rFonts w:asciiTheme="minorHAnsi" w:eastAsiaTheme="minorEastAsia" w:hAnsiTheme="minorHAnsi" w:cstheme="minorBidi"/>
              <w:noProof/>
              <w:kern w:val="2"/>
              <w:sz w:val="24"/>
              <w:szCs w:val="24"/>
              <w14:ligatures w14:val="standardContextual"/>
            </w:rPr>
          </w:pPr>
          <w:hyperlink w:anchor="_Toc233654394" w:history="1">
            <w:r w:rsidRPr="001947F5">
              <w:rPr>
                <w:rStyle w:val="Hyperlink"/>
                <w:noProof/>
              </w:rPr>
              <w:t>5.1 Governance and Roles</w:t>
            </w:r>
            <w:r>
              <w:rPr>
                <w:noProof/>
                <w:webHidden/>
              </w:rPr>
              <w:tab/>
            </w:r>
            <w:r>
              <w:rPr>
                <w:noProof/>
                <w:webHidden/>
              </w:rPr>
              <w:fldChar w:fldCharType="begin"/>
            </w:r>
            <w:r>
              <w:rPr>
                <w:noProof/>
                <w:webHidden/>
              </w:rPr>
              <w:instrText xml:space="preserve"> PAGEREF _Toc233654394 \h </w:instrText>
            </w:r>
            <w:r>
              <w:rPr>
                <w:noProof/>
                <w:webHidden/>
              </w:rPr>
            </w:r>
            <w:r>
              <w:rPr>
                <w:noProof/>
                <w:webHidden/>
              </w:rPr>
              <w:fldChar w:fldCharType="separate"/>
            </w:r>
            <w:r w:rsidR="0008075A">
              <w:rPr>
                <w:noProof/>
                <w:webHidden/>
              </w:rPr>
              <w:t>26</w:t>
            </w:r>
            <w:r>
              <w:rPr>
                <w:noProof/>
                <w:webHidden/>
              </w:rPr>
              <w:fldChar w:fldCharType="end"/>
            </w:r>
          </w:hyperlink>
        </w:p>
        <w:p w14:paraId="190D9EB0" w14:textId="22B864CC" w:rsidR="00B11DD7" w:rsidRDefault="00B11DD7">
          <w:pPr>
            <w:pStyle w:val="TOC2"/>
            <w:tabs>
              <w:tab w:val="right" w:pos="9196"/>
            </w:tabs>
            <w:rPr>
              <w:rFonts w:asciiTheme="minorHAnsi" w:eastAsiaTheme="minorEastAsia" w:hAnsiTheme="minorHAnsi" w:cstheme="minorBidi"/>
              <w:noProof/>
              <w:kern w:val="2"/>
              <w:sz w:val="24"/>
              <w:szCs w:val="24"/>
              <w14:ligatures w14:val="standardContextual"/>
            </w:rPr>
          </w:pPr>
          <w:hyperlink w:anchor="_Toc233654395" w:history="1">
            <w:r w:rsidRPr="001947F5">
              <w:rPr>
                <w:rStyle w:val="Hyperlink"/>
                <w:noProof/>
              </w:rPr>
              <w:t>5.2 Legal, Ethical and Sovereignty Prerequisites</w:t>
            </w:r>
            <w:r>
              <w:rPr>
                <w:noProof/>
                <w:webHidden/>
              </w:rPr>
              <w:tab/>
            </w:r>
            <w:r>
              <w:rPr>
                <w:noProof/>
                <w:webHidden/>
              </w:rPr>
              <w:fldChar w:fldCharType="begin"/>
            </w:r>
            <w:r>
              <w:rPr>
                <w:noProof/>
                <w:webHidden/>
              </w:rPr>
              <w:instrText xml:space="preserve"> PAGEREF _Toc233654395 \h </w:instrText>
            </w:r>
            <w:r>
              <w:rPr>
                <w:noProof/>
                <w:webHidden/>
              </w:rPr>
            </w:r>
            <w:r>
              <w:rPr>
                <w:noProof/>
                <w:webHidden/>
              </w:rPr>
              <w:fldChar w:fldCharType="separate"/>
            </w:r>
            <w:r w:rsidR="0008075A">
              <w:rPr>
                <w:noProof/>
                <w:webHidden/>
              </w:rPr>
              <w:t>27</w:t>
            </w:r>
            <w:r>
              <w:rPr>
                <w:noProof/>
                <w:webHidden/>
              </w:rPr>
              <w:fldChar w:fldCharType="end"/>
            </w:r>
          </w:hyperlink>
        </w:p>
        <w:p w14:paraId="3A8D754B" w14:textId="68744CFD" w:rsidR="00B11DD7" w:rsidRDefault="00B11DD7">
          <w:pPr>
            <w:pStyle w:val="TOC2"/>
            <w:tabs>
              <w:tab w:val="right" w:pos="9196"/>
            </w:tabs>
            <w:rPr>
              <w:rFonts w:asciiTheme="minorHAnsi" w:eastAsiaTheme="minorEastAsia" w:hAnsiTheme="minorHAnsi" w:cstheme="minorBidi"/>
              <w:noProof/>
              <w:kern w:val="2"/>
              <w:sz w:val="24"/>
              <w:szCs w:val="24"/>
              <w14:ligatures w14:val="standardContextual"/>
            </w:rPr>
          </w:pPr>
          <w:hyperlink w:anchor="_Toc233654396" w:history="1">
            <w:r w:rsidRPr="001947F5">
              <w:rPr>
                <w:rStyle w:val="Hyperlink"/>
                <w:noProof/>
              </w:rPr>
              <w:t>5.3 Resolving Conflicting Requirements</w:t>
            </w:r>
            <w:r>
              <w:rPr>
                <w:noProof/>
                <w:webHidden/>
              </w:rPr>
              <w:tab/>
            </w:r>
            <w:r>
              <w:rPr>
                <w:noProof/>
                <w:webHidden/>
              </w:rPr>
              <w:fldChar w:fldCharType="begin"/>
            </w:r>
            <w:r>
              <w:rPr>
                <w:noProof/>
                <w:webHidden/>
              </w:rPr>
              <w:instrText xml:space="preserve"> PAGEREF _Toc233654396 \h </w:instrText>
            </w:r>
            <w:r>
              <w:rPr>
                <w:noProof/>
                <w:webHidden/>
              </w:rPr>
            </w:r>
            <w:r>
              <w:rPr>
                <w:noProof/>
                <w:webHidden/>
              </w:rPr>
              <w:fldChar w:fldCharType="separate"/>
            </w:r>
            <w:r w:rsidR="0008075A">
              <w:rPr>
                <w:noProof/>
                <w:webHidden/>
              </w:rPr>
              <w:t>27</w:t>
            </w:r>
            <w:r>
              <w:rPr>
                <w:noProof/>
                <w:webHidden/>
              </w:rPr>
              <w:fldChar w:fldCharType="end"/>
            </w:r>
          </w:hyperlink>
        </w:p>
        <w:p w14:paraId="5FD9904A" w14:textId="1A4B4B2A" w:rsidR="00B11DD7" w:rsidRDefault="00B11DD7">
          <w:pPr>
            <w:pStyle w:val="TOC2"/>
            <w:tabs>
              <w:tab w:val="right" w:pos="9196"/>
            </w:tabs>
            <w:rPr>
              <w:rFonts w:asciiTheme="minorHAnsi" w:eastAsiaTheme="minorEastAsia" w:hAnsiTheme="minorHAnsi" w:cstheme="minorBidi"/>
              <w:noProof/>
              <w:kern w:val="2"/>
              <w:sz w:val="24"/>
              <w:szCs w:val="24"/>
              <w14:ligatures w14:val="standardContextual"/>
            </w:rPr>
          </w:pPr>
          <w:hyperlink w:anchor="_Toc233654397" w:history="1">
            <w:r w:rsidRPr="001947F5">
              <w:rPr>
                <w:rStyle w:val="Hyperlink"/>
                <w:noProof/>
              </w:rPr>
              <w:t>5.4 AI Behaviour and Automation</w:t>
            </w:r>
            <w:r>
              <w:rPr>
                <w:noProof/>
                <w:webHidden/>
              </w:rPr>
              <w:tab/>
            </w:r>
            <w:r>
              <w:rPr>
                <w:noProof/>
                <w:webHidden/>
              </w:rPr>
              <w:fldChar w:fldCharType="begin"/>
            </w:r>
            <w:r>
              <w:rPr>
                <w:noProof/>
                <w:webHidden/>
              </w:rPr>
              <w:instrText xml:space="preserve"> PAGEREF _Toc233654397 \h </w:instrText>
            </w:r>
            <w:r>
              <w:rPr>
                <w:noProof/>
                <w:webHidden/>
              </w:rPr>
            </w:r>
            <w:r>
              <w:rPr>
                <w:noProof/>
                <w:webHidden/>
              </w:rPr>
              <w:fldChar w:fldCharType="separate"/>
            </w:r>
            <w:r w:rsidR="0008075A">
              <w:rPr>
                <w:noProof/>
                <w:webHidden/>
              </w:rPr>
              <w:t>27</w:t>
            </w:r>
            <w:r>
              <w:rPr>
                <w:noProof/>
                <w:webHidden/>
              </w:rPr>
              <w:fldChar w:fldCharType="end"/>
            </w:r>
          </w:hyperlink>
        </w:p>
        <w:p w14:paraId="3881631D" w14:textId="750C1246" w:rsidR="00B11DD7" w:rsidRDefault="00B11DD7">
          <w:pPr>
            <w:pStyle w:val="TOC2"/>
            <w:tabs>
              <w:tab w:val="right" w:pos="9196"/>
            </w:tabs>
            <w:rPr>
              <w:rFonts w:asciiTheme="minorHAnsi" w:eastAsiaTheme="minorEastAsia" w:hAnsiTheme="minorHAnsi" w:cstheme="minorBidi"/>
              <w:noProof/>
              <w:kern w:val="2"/>
              <w:sz w:val="24"/>
              <w:szCs w:val="24"/>
              <w14:ligatures w14:val="standardContextual"/>
            </w:rPr>
          </w:pPr>
          <w:hyperlink w:anchor="_Toc233654398" w:history="1">
            <w:r w:rsidRPr="001947F5">
              <w:rPr>
                <w:rStyle w:val="Hyperlink"/>
                <w:noProof/>
              </w:rPr>
              <w:t>5.5 Operational Readiness</w:t>
            </w:r>
            <w:r>
              <w:rPr>
                <w:noProof/>
                <w:webHidden/>
              </w:rPr>
              <w:tab/>
            </w:r>
            <w:r>
              <w:rPr>
                <w:noProof/>
                <w:webHidden/>
              </w:rPr>
              <w:fldChar w:fldCharType="begin"/>
            </w:r>
            <w:r>
              <w:rPr>
                <w:noProof/>
                <w:webHidden/>
              </w:rPr>
              <w:instrText xml:space="preserve"> PAGEREF _Toc233654398 \h </w:instrText>
            </w:r>
            <w:r>
              <w:rPr>
                <w:noProof/>
                <w:webHidden/>
              </w:rPr>
            </w:r>
            <w:r>
              <w:rPr>
                <w:noProof/>
                <w:webHidden/>
              </w:rPr>
              <w:fldChar w:fldCharType="separate"/>
            </w:r>
            <w:r w:rsidR="0008075A">
              <w:rPr>
                <w:noProof/>
                <w:webHidden/>
              </w:rPr>
              <w:t>28</w:t>
            </w:r>
            <w:r>
              <w:rPr>
                <w:noProof/>
                <w:webHidden/>
              </w:rPr>
              <w:fldChar w:fldCharType="end"/>
            </w:r>
          </w:hyperlink>
        </w:p>
        <w:p w14:paraId="56C42F84" w14:textId="2BDA70CB" w:rsidR="00B11DD7" w:rsidRDefault="00B11DD7">
          <w:pPr>
            <w:pStyle w:val="TOC2"/>
            <w:tabs>
              <w:tab w:val="right" w:pos="9196"/>
            </w:tabs>
            <w:rPr>
              <w:rFonts w:asciiTheme="minorHAnsi" w:eastAsiaTheme="minorEastAsia" w:hAnsiTheme="minorHAnsi" w:cstheme="minorBidi"/>
              <w:noProof/>
              <w:kern w:val="2"/>
              <w:sz w:val="24"/>
              <w:szCs w:val="24"/>
              <w14:ligatures w14:val="standardContextual"/>
            </w:rPr>
          </w:pPr>
          <w:hyperlink w:anchor="_Toc233654399" w:history="1">
            <w:r w:rsidRPr="001947F5">
              <w:rPr>
                <w:rStyle w:val="Hyperlink"/>
                <w:noProof/>
              </w:rPr>
              <w:t>5.6 Costs, Sustainability and Evaluation</w:t>
            </w:r>
            <w:r>
              <w:rPr>
                <w:noProof/>
                <w:webHidden/>
              </w:rPr>
              <w:tab/>
            </w:r>
            <w:r>
              <w:rPr>
                <w:noProof/>
                <w:webHidden/>
              </w:rPr>
              <w:fldChar w:fldCharType="begin"/>
            </w:r>
            <w:r>
              <w:rPr>
                <w:noProof/>
                <w:webHidden/>
              </w:rPr>
              <w:instrText xml:space="preserve"> PAGEREF _Toc233654399 \h </w:instrText>
            </w:r>
            <w:r>
              <w:rPr>
                <w:noProof/>
                <w:webHidden/>
              </w:rPr>
            </w:r>
            <w:r>
              <w:rPr>
                <w:noProof/>
                <w:webHidden/>
              </w:rPr>
              <w:fldChar w:fldCharType="separate"/>
            </w:r>
            <w:r w:rsidR="0008075A">
              <w:rPr>
                <w:noProof/>
                <w:webHidden/>
              </w:rPr>
              <w:t>29</w:t>
            </w:r>
            <w:r>
              <w:rPr>
                <w:noProof/>
                <w:webHidden/>
              </w:rPr>
              <w:fldChar w:fldCharType="end"/>
            </w:r>
          </w:hyperlink>
        </w:p>
        <w:p w14:paraId="3F5FCEF1" w14:textId="244946D8" w:rsidR="00B11DD7" w:rsidRDefault="00B11DD7">
          <w:pPr>
            <w:pStyle w:val="TOC1"/>
            <w:tabs>
              <w:tab w:val="right" w:pos="9196"/>
            </w:tabs>
            <w:rPr>
              <w:rFonts w:asciiTheme="minorHAnsi" w:eastAsiaTheme="minorEastAsia" w:hAnsiTheme="minorHAnsi" w:cstheme="minorBidi"/>
              <w:noProof/>
              <w:kern w:val="2"/>
              <w:sz w:val="24"/>
              <w:szCs w:val="24"/>
              <w14:ligatures w14:val="standardContextual"/>
            </w:rPr>
          </w:pPr>
          <w:hyperlink w:anchor="_Toc233654400" w:history="1">
            <w:r w:rsidRPr="001947F5">
              <w:rPr>
                <w:rStyle w:val="Hyperlink"/>
                <w:noProof/>
              </w:rPr>
              <w:t>6. Architecture Principles</w:t>
            </w:r>
            <w:r>
              <w:rPr>
                <w:noProof/>
                <w:webHidden/>
              </w:rPr>
              <w:tab/>
            </w:r>
            <w:r>
              <w:rPr>
                <w:noProof/>
                <w:webHidden/>
              </w:rPr>
              <w:fldChar w:fldCharType="begin"/>
            </w:r>
            <w:r>
              <w:rPr>
                <w:noProof/>
                <w:webHidden/>
              </w:rPr>
              <w:instrText xml:space="preserve"> PAGEREF _Toc233654400 \h </w:instrText>
            </w:r>
            <w:r>
              <w:rPr>
                <w:noProof/>
                <w:webHidden/>
              </w:rPr>
            </w:r>
            <w:r>
              <w:rPr>
                <w:noProof/>
                <w:webHidden/>
              </w:rPr>
              <w:fldChar w:fldCharType="separate"/>
            </w:r>
            <w:r w:rsidR="0008075A">
              <w:rPr>
                <w:noProof/>
                <w:webHidden/>
              </w:rPr>
              <w:t>29</w:t>
            </w:r>
            <w:r>
              <w:rPr>
                <w:noProof/>
                <w:webHidden/>
              </w:rPr>
              <w:fldChar w:fldCharType="end"/>
            </w:r>
          </w:hyperlink>
        </w:p>
        <w:p w14:paraId="5992D448" w14:textId="00767D1A" w:rsidR="00B11DD7" w:rsidRDefault="00B11DD7">
          <w:pPr>
            <w:pStyle w:val="TOC1"/>
            <w:tabs>
              <w:tab w:val="right" w:pos="9196"/>
            </w:tabs>
            <w:rPr>
              <w:rFonts w:asciiTheme="minorHAnsi" w:eastAsiaTheme="minorEastAsia" w:hAnsiTheme="minorHAnsi" w:cstheme="minorBidi"/>
              <w:noProof/>
              <w:kern w:val="2"/>
              <w:sz w:val="24"/>
              <w:szCs w:val="24"/>
              <w14:ligatures w14:val="standardContextual"/>
            </w:rPr>
          </w:pPr>
          <w:hyperlink w:anchor="_Toc233654401" w:history="1">
            <w:r w:rsidRPr="001947F5">
              <w:rPr>
                <w:rStyle w:val="Hyperlink"/>
                <w:noProof/>
              </w:rPr>
              <w:t>7. Functional Specification</w:t>
            </w:r>
            <w:r>
              <w:rPr>
                <w:noProof/>
                <w:webHidden/>
              </w:rPr>
              <w:tab/>
            </w:r>
            <w:r>
              <w:rPr>
                <w:noProof/>
                <w:webHidden/>
              </w:rPr>
              <w:fldChar w:fldCharType="begin"/>
            </w:r>
            <w:r>
              <w:rPr>
                <w:noProof/>
                <w:webHidden/>
              </w:rPr>
              <w:instrText xml:space="preserve"> PAGEREF _Toc233654401 \h </w:instrText>
            </w:r>
            <w:r>
              <w:rPr>
                <w:noProof/>
                <w:webHidden/>
              </w:rPr>
            </w:r>
            <w:r>
              <w:rPr>
                <w:noProof/>
                <w:webHidden/>
              </w:rPr>
              <w:fldChar w:fldCharType="separate"/>
            </w:r>
            <w:r w:rsidR="0008075A">
              <w:rPr>
                <w:noProof/>
                <w:webHidden/>
              </w:rPr>
              <w:t>34</w:t>
            </w:r>
            <w:r>
              <w:rPr>
                <w:noProof/>
                <w:webHidden/>
              </w:rPr>
              <w:fldChar w:fldCharType="end"/>
            </w:r>
          </w:hyperlink>
        </w:p>
        <w:p w14:paraId="70E6BB19" w14:textId="7EA5E899" w:rsidR="00B11DD7" w:rsidRDefault="00B11DD7">
          <w:pPr>
            <w:pStyle w:val="TOC2"/>
            <w:tabs>
              <w:tab w:val="right" w:pos="9196"/>
            </w:tabs>
            <w:rPr>
              <w:rFonts w:asciiTheme="minorHAnsi" w:eastAsiaTheme="minorEastAsia" w:hAnsiTheme="minorHAnsi" w:cstheme="minorBidi"/>
              <w:noProof/>
              <w:kern w:val="2"/>
              <w:sz w:val="24"/>
              <w:szCs w:val="24"/>
              <w14:ligatures w14:val="standardContextual"/>
            </w:rPr>
          </w:pPr>
          <w:hyperlink w:anchor="_Toc233654402" w:history="1">
            <w:r w:rsidRPr="001947F5">
              <w:rPr>
                <w:rStyle w:val="Hyperlink"/>
                <w:noProof/>
              </w:rPr>
              <w:t>7.1 Functional Requirements</w:t>
            </w:r>
            <w:r>
              <w:rPr>
                <w:noProof/>
                <w:webHidden/>
              </w:rPr>
              <w:tab/>
            </w:r>
            <w:r>
              <w:rPr>
                <w:noProof/>
                <w:webHidden/>
              </w:rPr>
              <w:fldChar w:fldCharType="begin"/>
            </w:r>
            <w:r>
              <w:rPr>
                <w:noProof/>
                <w:webHidden/>
              </w:rPr>
              <w:instrText xml:space="preserve"> PAGEREF _Toc233654402 \h </w:instrText>
            </w:r>
            <w:r>
              <w:rPr>
                <w:noProof/>
                <w:webHidden/>
              </w:rPr>
            </w:r>
            <w:r>
              <w:rPr>
                <w:noProof/>
                <w:webHidden/>
              </w:rPr>
              <w:fldChar w:fldCharType="separate"/>
            </w:r>
            <w:r w:rsidR="0008075A">
              <w:rPr>
                <w:noProof/>
                <w:webHidden/>
              </w:rPr>
              <w:t>34</w:t>
            </w:r>
            <w:r>
              <w:rPr>
                <w:noProof/>
                <w:webHidden/>
              </w:rPr>
              <w:fldChar w:fldCharType="end"/>
            </w:r>
          </w:hyperlink>
        </w:p>
        <w:p w14:paraId="5EA4B254" w14:textId="4F3F2538" w:rsidR="00B11DD7" w:rsidRDefault="00B11DD7">
          <w:pPr>
            <w:pStyle w:val="TOC2"/>
            <w:tabs>
              <w:tab w:val="right" w:pos="9196"/>
            </w:tabs>
            <w:rPr>
              <w:rFonts w:asciiTheme="minorHAnsi" w:eastAsiaTheme="minorEastAsia" w:hAnsiTheme="minorHAnsi" w:cstheme="minorBidi"/>
              <w:noProof/>
              <w:kern w:val="2"/>
              <w:sz w:val="24"/>
              <w:szCs w:val="24"/>
              <w14:ligatures w14:val="standardContextual"/>
            </w:rPr>
          </w:pPr>
          <w:hyperlink w:anchor="_Toc233654403" w:history="1">
            <w:r w:rsidRPr="001947F5">
              <w:rPr>
                <w:rStyle w:val="Hyperlink"/>
                <w:noProof/>
              </w:rPr>
              <w:t>7.2 Non-functional Requirements</w:t>
            </w:r>
            <w:r>
              <w:rPr>
                <w:noProof/>
                <w:webHidden/>
              </w:rPr>
              <w:tab/>
            </w:r>
            <w:r>
              <w:rPr>
                <w:noProof/>
                <w:webHidden/>
              </w:rPr>
              <w:fldChar w:fldCharType="begin"/>
            </w:r>
            <w:r>
              <w:rPr>
                <w:noProof/>
                <w:webHidden/>
              </w:rPr>
              <w:instrText xml:space="preserve"> PAGEREF _Toc233654403 \h </w:instrText>
            </w:r>
            <w:r>
              <w:rPr>
                <w:noProof/>
                <w:webHidden/>
              </w:rPr>
            </w:r>
            <w:r>
              <w:rPr>
                <w:noProof/>
                <w:webHidden/>
              </w:rPr>
              <w:fldChar w:fldCharType="separate"/>
            </w:r>
            <w:r w:rsidR="0008075A">
              <w:rPr>
                <w:noProof/>
                <w:webHidden/>
              </w:rPr>
              <w:t>43</w:t>
            </w:r>
            <w:r>
              <w:rPr>
                <w:noProof/>
                <w:webHidden/>
              </w:rPr>
              <w:fldChar w:fldCharType="end"/>
            </w:r>
          </w:hyperlink>
        </w:p>
        <w:p w14:paraId="6F5A3148" w14:textId="0C1801E9" w:rsidR="00B11DD7" w:rsidRDefault="00B11DD7">
          <w:pPr>
            <w:pStyle w:val="TOC1"/>
            <w:tabs>
              <w:tab w:val="right" w:pos="9196"/>
            </w:tabs>
            <w:rPr>
              <w:rFonts w:asciiTheme="minorHAnsi" w:eastAsiaTheme="minorEastAsia" w:hAnsiTheme="minorHAnsi" w:cstheme="minorBidi"/>
              <w:noProof/>
              <w:kern w:val="2"/>
              <w:sz w:val="24"/>
              <w:szCs w:val="24"/>
              <w14:ligatures w14:val="standardContextual"/>
            </w:rPr>
          </w:pPr>
          <w:hyperlink w:anchor="_Toc233654404" w:history="1">
            <w:r w:rsidRPr="001947F5">
              <w:rPr>
                <w:rStyle w:val="Hyperlink"/>
                <w:noProof/>
              </w:rPr>
              <w:t>8. Process Flow</w:t>
            </w:r>
            <w:r>
              <w:rPr>
                <w:noProof/>
                <w:webHidden/>
              </w:rPr>
              <w:tab/>
            </w:r>
            <w:r>
              <w:rPr>
                <w:noProof/>
                <w:webHidden/>
              </w:rPr>
              <w:fldChar w:fldCharType="begin"/>
            </w:r>
            <w:r>
              <w:rPr>
                <w:noProof/>
                <w:webHidden/>
              </w:rPr>
              <w:instrText xml:space="preserve"> PAGEREF _Toc233654404 \h </w:instrText>
            </w:r>
            <w:r>
              <w:rPr>
                <w:noProof/>
                <w:webHidden/>
              </w:rPr>
            </w:r>
            <w:r>
              <w:rPr>
                <w:noProof/>
                <w:webHidden/>
              </w:rPr>
              <w:fldChar w:fldCharType="separate"/>
            </w:r>
            <w:r w:rsidR="0008075A">
              <w:rPr>
                <w:noProof/>
                <w:webHidden/>
              </w:rPr>
              <w:t>49</w:t>
            </w:r>
            <w:r>
              <w:rPr>
                <w:noProof/>
                <w:webHidden/>
              </w:rPr>
              <w:fldChar w:fldCharType="end"/>
            </w:r>
          </w:hyperlink>
        </w:p>
        <w:p w14:paraId="72217F27" w14:textId="063EE538" w:rsidR="00B11DD7" w:rsidRDefault="00B11DD7">
          <w:pPr>
            <w:pStyle w:val="TOC2"/>
            <w:tabs>
              <w:tab w:val="right" w:pos="9196"/>
            </w:tabs>
            <w:rPr>
              <w:rFonts w:asciiTheme="minorHAnsi" w:eastAsiaTheme="minorEastAsia" w:hAnsiTheme="minorHAnsi" w:cstheme="minorBidi"/>
              <w:noProof/>
              <w:kern w:val="2"/>
              <w:sz w:val="24"/>
              <w:szCs w:val="24"/>
              <w14:ligatures w14:val="standardContextual"/>
            </w:rPr>
          </w:pPr>
          <w:hyperlink w:anchor="_Toc233654405" w:history="1">
            <w:r w:rsidRPr="001947F5">
              <w:rPr>
                <w:rStyle w:val="Hyperlink"/>
                <w:noProof/>
              </w:rPr>
              <w:t>8.1 How to read the process flow</w:t>
            </w:r>
            <w:r>
              <w:rPr>
                <w:noProof/>
                <w:webHidden/>
              </w:rPr>
              <w:tab/>
            </w:r>
            <w:r>
              <w:rPr>
                <w:noProof/>
                <w:webHidden/>
              </w:rPr>
              <w:fldChar w:fldCharType="begin"/>
            </w:r>
            <w:r>
              <w:rPr>
                <w:noProof/>
                <w:webHidden/>
              </w:rPr>
              <w:instrText xml:space="preserve"> PAGEREF _Toc233654405 \h </w:instrText>
            </w:r>
            <w:r>
              <w:rPr>
                <w:noProof/>
                <w:webHidden/>
              </w:rPr>
            </w:r>
            <w:r>
              <w:rPr>
                <w:noProof/>
                <w:webHidden/>
              </w:rPr>
              <w:fldChar w:fldCharType="separate"/>
            </w:r>
            <w:r w:rsidR="0008075A">
              <w:rPr>
                <w:noProof/>
                <w:webHidden/>
              </w:rPr>
              <w:t>50</w:t>
            </w:r>
            <w:r>
              <w:rPr>
                <w:noProof/>
                <w:webHidden/>
              </w:rPr>
              <w:fldChar w:fldCharType="end"/>
            </w:r>
          </w:hyperlink>
        </w:p>
        <w:p w14:paraId="0A17FFDF" w14:textId="439B9E81" w:rsidR="00B11DD7" w:rsidRDefault="00B11DD7">
          <w:pPr>
            <w:pStyle w:val="TOC2"/>
            <w:tabs>
              <w:tab w:val="right" w:pos="9196"/>
            </w:tabs>
            <w:rPr>
              <w:rFonts w:asciiTheme="minorHAnsi" w:eastAsiaTheme="minorEastAsia" w:hAnsiTheme="minorHAnsi" w:cstheme="minorBidi"/>
              <w:noProof/>
              <w:kern w:val="2"/>
              <w:sz w:val="24"/>
              <w:szCs w:val="24"/>
              <w14:ligatures w14:val="standardContextual"/>
            </w:rPr>
          </w:pPr>
          <w:hyperlink w:anchor="_Toc233654406" w:history="1">
            <w:r w:rsidRPr="001947F5">
              <w:rPr>
                <w:rStyle w:val="Hyperlink"/>
                <w:noProof/>
              </w:rPr>
              <w:t>8.2 Six-Phase Process Flow for Research Data Publication</w:t>
            </w:r>
            <w:r>
              <w:rPr>
                <w:noProof/>
                <w:webHidden/>
              </w:rPr>
              <w:tab/>
            </w:r>
            <w:r>
              <w:rPr>
                <w:noProof/>
                <w:webHidden/>
              </w:rPr>
              <w:fldChar w:fldCharType="begin"/>
            </w:r>
            <w:r>
              <w:rPr>
                <w:noProof/>
                <w:webHidden/>
              </w:rPr>
              <w:instrText xml:space="preserve"> PAGEREF _Toc233654406 \h </w:instrText>
            </w:r>
            <w:r>
              <w:rPr>
                <w:noProof/>
                <w:webHidden/>
              </w:rPr>
            </w:r>
            <w:r>
              <w:rPr>
                <w:noProof/>
                <w:webHidden/>
              </w:rPr>
              <w:fldChar w:fldCharType="separate"/>
            </w:r>
            <w:r w:rsidR="0008075A">
              <w:rPr>
                <w:noProof/>
                <w:webHidden/>
              </w:rPr>
              <w:t>50</w:t>
            </w:r>
            <w:r>
              <w:rPr>
                <w:noProof/>
                <w:webHidden/>
              </w:rPr>
              <w:fldChar w:fldCharType="end"/>
            </w:r>
          </w:hyperlink>
        </w:p>
        <w:p w14:paraId="55BFB57F" w14:textId="19DA5409" w:rsidR="00B11DD7" w:rsidRDefault="00B11DD7">
          <w:pPr>
            <w:pStyle w:val="TOC1"/>
            <w:tabs>
              <w:tab w:val="right" w:pos="9196"/>
            </w:tabs>
            <w:rPr>
              <w:rFonts w:asciiTheme="minorHAnsi" w:eastAsiaTheme="minorEastAsia" w:hAnsiTheme="minorHAnsi" w:cstheme="minorBidi"/>
              <w:noProof/>
              <w:kern w:val="2"/>
              <w:sz w:val="24"/>
              <w:szCs w:val="24"/>
              <w14:ligatures w14:val="standardContextual"/>
            </w:rPr>
          </w:pPr>
          <w:hyperlink w:anchor="_Toc233654407" w:history="1">
            <w:r w:rsidRPr="001947F5">
              <w:rPr>
                <w:rStyle w:val="Hyperlink"/>
                <w:noProof/>
              </w:rPr>
              <w:t>9. Reference Architecture</w:t>
            </w:r>
            <w:r>
              <w:rPr>
                <w:noProof/>
                <w:webHidden/>
              </w:rPr>
              <w:tab/>
            </w:r>
            <w:r>
              <w:rPr>
                <w:noProof/>
                <w:webHidden/>
              </w:rPr>
              <w:fldChar w:fldCharType="begin"/>
            </w:r>
            <w:r>
              <w:rPr>
                <w:noProof/>
                <w:webHidden/>
              </w:rPr>
              <w:instrText xml:space="preserve"> PAGEREF _Toc233654407 \h </w:instrText>
            </w:r>
            <w:r>
              <w:rPr>
                <w:noProof/>
                <w:webHidden/>
              </w:rPr>
            </w:r>
            <w:r>
              <w:rPr>
                <w:noProof/>
                <w:webHidden/>
              </w:rPr>
              <w:fldChar w:fldCharType="separate"/>
            </w:r>
            <w:r w:rsidR="0008075A">
              <w:rPr>
                <w:noProof/>
                <w:webHidden/>
              </w:rPr>
              <w:t>58</w:t>
            </w:r>
            <w:r>
              <w:rPr>
                <w:noProof/>
                <w:webHidden/>
              </w:rPr>
              <w:fldChar w:fldCharType="end"/>
            </w:r>
          </w:hyperlink>
        </w:p>
        <w:p w14:paraId="36A2BEC6" w14:textId="30923D7F" w:rsidR="00B11DD7" w:rsidRDefault="00B11DD7">
          <w:pPr>
            <w:pStyle w:val="TOC2"/>
            <w:tabs>
              <w:tab w:val="right" w:pos="9196"/>
            </w:tabs>
            <w:rPr>
              <w:rFonts w:asciiTheme="minorHAnsi" w:eastAsiaTheme="minorEastAsia" w:hAnsiTheme="minorHAnsi" w:cstheme="minorBidi"/>
              <w:noProof/>
              <w:kern w:val="2"/>
              <w:sz w:val="24"/>
              <w:szCs w:val="24"/>
              <w14:ligatures w14:val="standardContextual"/>
            </w:rPr>
          </w:pPr>
          <w:hyperlink w:anchor="_Toc233654408" w:history="1">
            <w:r w:rsidRPr="001947F5">
              <w:rPr>
                <w:rStyle w:val="Hyperlink"/>
                <w:noProof/>
              </w:rPr>
              <w:t>9.1 Architecture Overview</w:t>
            </w:r>
            <w:r>
              <w:rPr>
                <w:noProof/>
                <w:webHidden/>
              </w:rPr>
              <w:tab/>
            </w:r>
            <w:r>
              <w:rPr>
                <w:noProof/>
                <w:webHidden/>
              </w:rPr>
              <w:fldChar w:fldCharType="begin"/>
            </w:r>
            <w:r>
              <w:rPr>
                <w:noProof/>
                <w:webHidden/>
              </w:rPr>
              <w:instrText xml:space="preserve"> PAGEREF _Toc233654408 \h </w:instrText>
            </w:r>
            <w:r>
              <w:rPr>
                <w:noProof/>
                <w:webHidden/>
              </w:rPr>
            </w:r>
            <w:r>
              <w:rPr>
                <w:noProof/>
                <w:webHidden/>
              </w:rPr>
              <w:fldChar w:fldCharType="separate"/>
            </w:r>
            <w:r w:rsidR="0008075A">
              <w:rPr>
                <w:noProof/>
                <w:webHidden/>
              </w:rPr>
              <w:t>58</w:t>
            </w:r>
            <w:r>
              <w:rPr>
                <w:noProof/>
                <w:webHidden/>
              </w:rPr>
              <w:fldChar w:fldCharType="end"/>
            </w:r>
          </w:hyperlink>
        </w:p>
        <w:p w14:paraId="1C7D9284" w14:textId="4ADA6F17" w:rsidR="00B11DD7" w:rsidRDefault="00B11DD7">
          <w:pPr>
            <w:pStyle w:val="TOC2"/>
            <w:tabs>
              <w:tab w:val="right" w:pos="9196"/>
            </w:tabs>
            <w:rPr>
              <w:rFonts w:asciiTheme="minorHAnsi" w:eastAsiaTheme="minorEastAsia" w:hAnsiTheme="minorHAnsi" w:cstheme="minorBidi"/>
              <w:noProof/>
              <w:kern w:val="2"/>
              <w:sz w:val="24"/>
              <w:szCs w:val="24"/>
              <w14:ligatures w14:val="standardContextual"/>
            </w:rPr>
          </w:pPr>
          <w:hyperlink w:anchor="_Toc233654409" w:history="1">
            <w:r w:rsidRPr="001947F5">
              <w:rPr>
                <w:rStyle w:val="Hyperlink"/>
                <w:noProof/>
              </w:rPr>
              <w:t>9.2 Presentation Layer</w:t>
            </w:r>
            <w:r>
              <w:rPr>
                <w:noProof/>
                <w:webHidden/>
              </w:rPr>
              <w:tab/>
            </w:r>
            <w:r>
              <w:rPr>
                <w:noProof/>
                <w:webHidden/>
              </w:rPr>
              <w:fldChar w:fldCharType="begin"/>
            </w:r>
            <w:r>
              <w:rPr>
                <w:noProof/>
                <w:webHidden/>
              </w:rPr>
              <w:instrText xml:space="preserve"> PAGEREF _Toc233654409 \h </w:instrText>
            </w:r>
            <w:r>
              <w:rPr>
                <w:noProof/>
                <w:webHidden/>
              </w:rPr>
            </w:r>
            <w:r>
              <w:rPr>
                <w:noProof/>
                <w:webHidden/>
              </w:rPr>
              <w:fldChar w:fldCharType="separate"/>
            </w:r>
            <w:r w:rsidR="0008075A">
              <w:rPr>
                <w:noProof/>
                <w:webHidden/>
              </w:rPr>
              <w:t>59</w:t>
            </w:r>
            <w:r>
              <w:rPr>
                <w:noProof/>
                <w:webHidden/>
              </w:rPr>
              <w:fldChar w:fldCharType="end"/>
            </w:r>
          </w:hyperlink>
        </w:p>
        <w:p w14:paraId="186A8A9A" w14:textId="37FAF8F9" w:rsidR="00B11DD7" w:rsidRDefault="00B11DD7">
          <w:pPr>
            <w:pStyle w:val="TOC2"/>
            <w:tabs>
              <w:tab w:val="right" w:pos="9196"/>
            </w:tabs>
            <w:rPr>
              <w:rFonts w:asciiTheme="minorHAnsi" w:eastAsiaTheme="minorEastAsia" w:hAnsiTheme="minorHAnsi" w:cstheme="minorBidi"/>
              <w:noProof/>
              <w:kern w:val="2"/>
              <w:sz w:val="24"/>
              <w:szCs w:val="24"/>
              <w14:ligatures w14:val="standardContextual"/>
            </w:rPr>
          </w:pPr>
          <w:hyperlink w:anchor="_Toc233654410" w:history="1">
            <w:r w:rsidRPr="001947F5">
              <w:rPr>
                <w:rStyle w:val="Hyperlink"/>
                <w:noProof/>
              </w:rPr>
              <w:t>9.3 Application Layer</w:t>
            </w:r>
            <w:r>
              <w:rPr>
                <w:noProof/>
                <w:webHidden/>
              </w:rPr>
              <w:tab/>
            </w:r>
            <w:r>
              <w:rPr>
                <w:noProof/>
                <w:webHidden/>
              </w:rPr>
              <w:fldChar w:fldCharType="begin"/>
            </w:r>
            <w:r>
              <w:rPr>
                <w:noProof/>
                <w:webHidden/>
              </w:rPr>
              <w:instrText xml:space="preserve"> PAGEREF _Toc233654410 \h </w:instrText>
            </w:r>
            <w:r>
              <w:rPr>
                <w:noProof/>
                <w:webHidden/>
              </w:rPr>
            </w:r>
            <w:r>
              <w:rPr>
                <w:noProof/>
                <w:webHidden/>
              </w:rPr>
              <w:fldChar w:fldCharType="separate"/>
            </w:r>
            <w:r w:rsidR="0008075A">
              <w:rPr>
                <w:noProof/>
                <w:webHidden/>
              </w:rPr>
              <w:t>60</w:t>
            </w:r>
            <w:r>
              <w:rPr>
                <w:noProof/>
                <w:webHidden/>
              </w:rPr>
              <w:fldChar w:fldCharType="end"/>
            </w:r>
          </w:hyperlink>
        </w:p>
        <w:p w14:paraId="4A53F5B6" w14:textId="30D81022" w:rsidR="00B11DD7" w:rsidRDefault="00B11DD7">
          <w:pPr>
            <w:pStyle w:val="TOC2"/>
            <w:tabs>
              <w:tab w:val="right" w:pos="9196"/>
            </w:tabs>
            <w:rPr>
              <w:rFonts w:asciiTheme="minorHAnsi" w:eastAsiaTheme="minorEastAsia" w:hAnsiTheme="minorHAnsi" w:cstheme="minorBidi"/>
              <w:noProof/>
              <w:kern w:val="2"/>
              <w:sz w:val="24"/>
              <w:szCs w:val="24"/>
              <w14:ligatures w14:val="standardContextual"/>
            </w:rPr>
          </w:pPr>
          <w:hyperlink w:anchor="_Toc233654411" w:history="1">
            <w:r w:rsidRPr="001947F5">
              <w:rPr>
                <w:rStyle w:val="Hyperlink"/>
                <w:noProof/>
              </w:rPr>
              <w:t>9.4 AI Layer</w:t>
            </w:r>
            <w:r>
              <w:rPr>
                <w:noProof/>
                <w:webHidden/>
              </w:rPr>
              <w:tab/>
            </w:r>
            <w:r>
              <w:rPr>
                <w:noProof/>
                <w:webHidden/>
              </w:rPr>
              <w:fldChar w:fldCharType="begin"/>
            </w:r>
            <w:r>
              <w:rPr>
                <w:noProof/>
                <w:webHidden/>
              </w:rPr>
              <w:instrText xml:space="preserve"> PAGEREF _Toc233654411 \h </w:instrText>
            </w:r>
            <w:r>
              <w:rPr>
                <w:noProof/>
                <w:webHidden/>
              </w:rPr>
            </w:r>
            <w:r>
              <w:rPr>
                <w:noProof/>
                <w:webHidden/>
              </w:rPr>
              <w:fldChar w:fldCharType="separate"/>
            </w:r>
            <w:r w:rsidR="0008075A">
              <w:rPr>
                <w:noProof/>
                <w:webHidden/>
              </w:rPr>
              <w:t>60</w:t>
            </w:r>
            <w:r>
              <w:rPr>
                <w:noProof/>
                <w:webHidden/>
              </w:rPr>
              <w:fldChar w:fldCharType="end"/>
            </w:r>
          </w:hyperlink>
        </w:p>
        <w:p w14:paraId="120610B3" w14:textId="63CC5394" w:rsidR="00B11DD7" w:rsidRDefault="00B11DD7">
          <w:pPr>
            <w:pStyle w:val="TOC2"/>
            <w:tabs>
              <w:tab w:val="right" w:pos="9196"/>
            </w:tabs>
            <w:rPr>
              <w:rFonts w:asciiTheme="minorHAnsi" w:eastAsiaTheme="minorEastAsia" w:hAnsiTheme="minorHAnsi" w:cstheme="minorBidi"/>
              <w:noProof/>
              <w:kern w:val="2"/>
              <w:sz w:val="24"/>
              <w:szCs w:val="24"/>
              <w14:ligatures w14:val="standardContextual"/>
            </w:rPr>
          </w:pPr>
          <w:hyperlink w:anchor="_Toc233654412" w:history="1">
            <w:r w:rsidRPr="001947F5">
              <w:rPr>
                <w:rStyle w:val="Hyperlink"/>
                <w:noProof/>
              </w:rPr>
              <w:t>9.5 Data Layer</w:t>
            </w:r>
            <w:r>
              <w:rPr>
                <w:noProof/>
                <w:webHidden/>
              </w:rPr>
              <w:tab/>
            </w:r>
            <w:r>
              <w:rPr>
                <w:noProof/>
                <w:webHidden/>
              </w:rPr>
              <w:fldChar w:fldCharType="begin"/>
            </w:r>
            <w:r>
              <w:rPr>
                <w:noProof/>
                <w:webHidden/>
              </w:rPr>
              <w:instrText xml:space="preserve"> PAGEREF _Toc233654412 \h </w:instrText>
            </w:r>
            <w:r>
              <w:rPr>
                <w:noProof/>
                <w:webHidden/>
              </w:rPr>
            </w:r>
            <w:r>
              <w:rPr>
                <w:noProof/>
                <w:webHidden/>
              </w:rPr>
              <w:fldChar w:fldCharType="separate"/>
            </w:r>
            <w:r w:rsidR="0008075A">
              <w:rPr>
                <w:noProof/>
                <w:webHidden/>
              </w:rPr>
              <w:t>61</w:t>
            </w:r>
            <w:r>
              <w:rPr>
                <w:noProof/>
                <w:webHidden/>
              </w:rPr>
              <w:fldChar w:fldCharType="end"/>
            </w:r>
          </w:hyperlink>
        </w:p>
        <w:p w14:paraId="0DBB64BE" w14:textId="5110C321" w:rsidR="00B11DD7" w:rsidRDefault="00B11DD7">
          <w:pPr>
            <w:pStyle w:val="TOC2"/>
            <w:tabs>
              <w:tab w:val="right" w:pos="9196"/>
            </w:tabs>
            <w:rPr>
              <w:rFonts w:asciiTheme="minorHAnsi" w:eastAsiaTheme="minorEastAsia" w:hAnsiTheme="minorHAnsi" w:cstheme="minorBidi"/>
              <w:noProof/>
              <w:kern w:val="2"/>
              <w:sz w:val="24"/>
              <w:szCs w:val="24"/>
              <w14:ligatures w14:val="standardContextual"/>
            </w:rPr>
          </w:pPr>
          <w:hyperlink w:anchor="_Toc233654413" w:history="1">
            <w:r w:rsidRPr="001947F5">
              <w:rPr>
                <w:rStyle w:val="Hyperlink"/>
                <w:noProof/>
              </w:rPr>
              <w:t>9.6 Platform and Integration Layer</w:t>
            </w:r>
            <w:r>
              <w:rPr>
                <w:noProof/>
                <w:webHidden/>
              </w:rPr>
              <w:tab/>
            </w:r>
            <w:r>
              <w:rPr>
                <w:noProof/>
                <w:webHidden/>
              </w:rPr>
              <w:fldChar w:fldCharType="begin"/>
            </w:r>
            <w:r>
              <w:rPr>
                <w:noProof/>
                <w:webHidden/>
              </w:rPr>
              <w:instrText xml:space="preserve"> PAGEREF _Toc233654413 \h </w:instrText>
            </w:r>
            <w:r>
              <w:rPr>
                <w:noProof/>
                <w:webHidden/>
              </w:rPr>
            </w:r>
            <w:r>
              <w:rPr>
                <w:noProof/>
                <w:webHidden/>
              </w:rPr>
              <w:fldChar w:fldCharType="separate"/>
            </w:r>
            <w:r w:rsidR="0008075A">
              <w:rPr>
                <w:noProof/>
                <w:webHidden/>
              </w:rPr>
              <w:t>62</w:t>
            </w:r>
            <w:r>
              <w:rPr>
                <w:noProof/>
                <w:webHidden/>
              </w:rPr>
              <w:fldChar w:fldCharType="end"/>
            </w:r>
          </w:hyperlink>
        </w:p>
        <w:p w14:paraId="69148BF6" w14:textId="16A37F2D" w:rsidR="00B11DD7" w:rsidRDefault="00B11DD7">
          <w:pPr>
            <w:pStyle w:val="TOC1"/>
            <w:tabs>
              <w:tab w:val="right" w:pos="9196"/>
            </w:tabs>
            <w:rPr>
              <w:rFonts w:asciiTheme="minorHAnsi" w:eastAsiaTheme="minorEastAsia" w:hAnsiTheme="minorHAnsi" w:cstheme="minorBidi"/>
              <w:noProof/>
              <w:kern w:val="2"/>
              <w:sz w:val="24"/>
              <w:szCs w:val="24"/>
              <w14:ligatures w14:val="standardContextual"/>
            </w:rPr>
          </w:pPr>
          <w:hyperlink w:anchor="_Toc233654414" w:history="1">
            <w:r w:rsidRPr="001947F5">
              <w:rPr>
                <w:rStyle w:val="Hyperlink"/>
                <w:noProof/>
              </w:rPr>
              <w:t>10. Evaluation Criteria</w:t>
            </w:r>
            <w:r>
              <w:rPr>
                <w:noProof/>
                <w:webHidden/>
              </w:rPr>
              <w:tab/>
            </w:r>
            <w:r>
              <w:rPr>
                <w:noProof/>
                <w:webHidden/>
              </w:rPr>
              <w:fldChar w:fldCharType="begin"/>
            </w:r>
            <w:r>
              <w:rPr>
                <w:noProof/>
                <w:webHidden/>
              </w:rPr>
              <w:instrText xml:space="preserve"> PAGEREF _Toc233654414 \h </w:instrText>
            </w:r>
            <w:r>
              <w:rPr>
                <w:noProof/>
                <w:webHidden/>
              </w:rPr>
            </w:r>
            <w:r>
              <w:rPr>
                <w:noProof/>
                <w:webHidden/>
              </w:rPr>
              <w:fldChar w:fldCharType="separate"/>
            </w:r>
            <w:r w:rsidR="0008075A">
              <w:rPr>
                <w:noProof/>
                <w:webHidden/>
              </w:rPr>
              <w:t>63</w:t>
            </w:r>
            <w:r>
              <w:rPr>
                <w:noProof/>
                <w:webHidden/>
              </w:rPr>
              <w:fldChar w:fldCharType="end"/>
            </w:r>
          </w:hyperlink>
        </w:p>
        <w:p w14:paraId="544A4C62" w14:textId="1040F309" w:rsidR="00B11DD7" w:rsidRDefault="00B11DD7">
          <w:pPr>
            <w:pStyle w:val="TOC2"/>
            <w:tabs>
              <w:tab w:val="right" w:pos="9196"/>
            </w:tabs>
            <w:rPr>
              <w:rFonts w:asciiTheme="minorHAnsi" w:eastAsiaTheme="minorEastAsia" w:hAnsiTheme="minorHAnsi" w:cstheme="minorBidi"/>
              <w:noProof/>
              <w:kern w:val="2"/>
              <w:sz w:val="24"/>
              <w:szCs w:val="24"/>
              <w14:ligatures w14:val="standardContextual"/>
            </w:rPr>
          </w:pPr>
          <w:hyperlink w:anchor="_Toc233654415" w:history="1">
            <w:r w:rsidRPr="001947F5">
              <w:rPr>
                <w:rStyle w:val="Hyperlink"/>
                <w:noProof/>
              </w:rPr>
              <w:t>10.1 Blueprint Quality Criteria</w:t>
            </w:r>
            <w:r>
              <w:rPr>
                <w:noProof/>
                <w:webHidden/>
              </w:rPr>
              <w:tab/>
            </w:r>
            <w:r>
              <w:rPr>
                <w:noProof/>
                <w:webHidden/>
              </w:rPr>
              <w:fldChar w:fldCharType="begin"/>
            </w:r>
            <w:r>
              <w:rPr>
                <w:noProof/>
                <w:webHidden/>
              </w:rPr>
              <w:instrText xml:space="preserve"> PAGEREF _Toc233654415 \h </w:instrText>
            </w:r>
            <w:r>
              <w:rPr>
                <w:noProof/>
                <w:webHidden/>
              </w:rPr>
            </w:r>
            <w:r>
              <w:rPr>
                <w:noProof/>
                <w:webHidden/>
              </w:rPr>
              <w:fldChar w:fldCharType="separate"/>
            </w:r>
            <w:r w:rsidR="0008075A">
              <w:rPr>
                <w:noProof/>
                <w:webHidden/>
              </w:rPr>
              <w:t>64</w:t>
            </w:r>
            <w:r>
              <w:rPr>
                <w:noProof/>
                <w:webHidden/>
              </w:rPr>
              <w:fldChar w:fldCharType="end"/>
            </w:r>
          </w:hyperlink>
        </w:p>
        <w:p w14:paraId="41613AA5" w14:textId="07F31DC1" w:rsidR="00B11DD7" w:rsidRDefault="00B11DD7">
          <w:pPr>
            <w:pStyle w:val="TOC2"/>
            <w:tabs>
              <w:tab w:val="right" w:pos="9196"/>
            </w:tabs>
            <w:rPr>
              <w:rFonts w:asciiTheme="minorHAnsi" w:eastAsiaTheme="minorEastAsia" w:hAnsiTheme="minorHAnsi" w:cstheme="minorBidi"/>
              <w:noProof/>
              <w:kern w:val="2"/>
              <w:sz w:val="24"/>
              <w:szCs w:val="24"/>
              <w14:ligatures w14:val="standardContextual"/>
            </w:rPr>
          </w:pPr>
          <w:hyperlink w:anchor="_Toc233654416" w:history="1">
            <w:r w:rsidRPr="001947F5">
              <w:rPr>
                <w:rStyle w:val="Hyperlink"/>
                <w:noProof/>
              </w:rPr>
              <w:t>10.2 Evaluation Process</w:t>
            </w:r>
            <w:r>
              <w:rPr>
                <w:noProof/>
                <w:webHidden/>
              </w:rPr>
              <w:tab/>
            </w:r>
            <w:r>
              <w:rPr>
                <w:noProof/>
                <w:webHidden/>
              </w:rPr>
              <w:fldChar w:fldCharType="begin"/>
            </w:r>
            <w:r>
              <w:rPr>
                <w:noProof/>
                <w:webHidden/>
              </w:rPr>
              <w:instrText xml:space="preserve"> PAGEREF _Toc233654416 \h </w:instrText>
            </w:r>
            <w:r>
              <w:rPr>
                <w:noProof/>
                <w:webHidden/>
              </w:rPr>
            </w:r>
            <w:r>
              <w:rPr>
                <w:noProof/>
                <w:webHidden/>
              </w:rPr>
              <w:fldChar w:fldCharType="separate"/>
            </w:r>
            <w:r w:rsidR="0008075A">
              <w:rPr>
                <w:noProof/>
                <w:webHidden/>
              </w:rPr>
              <w:t>69</w:t>
            </w:r>
            <w:r>
              <w:rPr>
                <w:noProof/>
                <w:webHidden/>
              </w:rPr>
              <w:fldChar w:fldCharType="end"/>
            </w:r>
          </w:hyperlink>
        </w:p>
        <w:p w14:paraId="4A13AD20" w14:textId="02834D6A" w:rsidR="00B11DD7" w:rsidRDefault="00B11DD7">
          <w:pPr>
            <w:pStyle w:val="TOC2"/>
            <w:tabs>
              <w:tab w:val="right" w:pos="9196"/>
            </w:tabs>
            <w:rPr>
              <w:rFonts w:asciiTheme="minorHAnsi" w:eastAsiaTheme="minorEastAsia" w:hAnsiTheme="minorHAnsi" w:cstheme="minorBidi"/>
              <w:noProof/>
              <w:kern w:val="2"/>
              <w:sz w:val="24"/>
              <w:szCs w:val="24"/>
              <w14:ligatures w14:val="standardContextual"/>
            </w:rPr>
          </w:pPr>
          <w:hyperlink w:anchor="_Toc233654417" w:history="1">
            <w:r w:rsidRPr="001947F5">
              <w:rPr>
                <w:rStyle w:val="Hyperlink"/>
                <w:noProof/>
              </w:rPr>
              <w:t>10.3 Future Evaluation Considerations</w:t>
            </w:r>
            <w:r>
              <w:rPr>
                <w:noProof/>
                <w:webHidden/>
              </w:rPr>
              <w:tab/>
            </w:r>
            <w:r>
              <w:rPr>
                <w:noProof/>
                <w:webHidden/>
              </w:rPr>
              <w:fldChar w:fldCharType="begin"/>
            </w:r>
            <w:r>
              <w:rPr>
                <w:noProof/>
                <w:webHidden/>
              </w:rPr>
              <w:instrText xml:space="preserve"> PAGEREF _Toc233654417 \h </w:instrText>
            </w:r>
            <w:r>
              <w:rPr>
                <w:noProof/>
                <w:webHidden/>
              </w:rPr>
            </w:r>
            <w:r>
              <w:rPr>
                <w:noProof/>
                <w:webHidden/>
              </w:rPr>
              <w:fldChar w:fldCharType="separate"/>
            </w:r>
            <w:r w:rsidR="0008075A">
              <w:rPr>
                <w:noProof/>
                <w:webHidden/>
              </w:rPr>
              <w:t>69</w:t>
            </w:r>
            <w:r>
              <w:rPr>
                <w:noProof/>
                <w:webHidden/>
              </w:rPr>
              <w:fldChar w:fldCharType="end"/>
            </w:r>
          </w:hyperlink>
        </w:p>
        <w:p w14:paraId="6FE56EA7" w14:textId="0CC040F4" w:rsidR="00B11DD7" w:rsidRDefault="00B11DD7">
          <w:pPr>
            <w:pStyle w:val="TOC1"/>
            <w:tabs>
              <w:tab w:val="right" w:pos="9196"/>
            </w:tabs>
            <w:rPr>
              <w:rFonts w:asciiTheme="minorHAnsi" w:eastAsiaTheme="minorEastAsia" w:hAnsiTheme="minorHAnsi" w:cstheme="minorBidi"/>
              <w:noProof/>
              <w:kern w:val="2"/>
              <w:sz w:val="24"/>
              <w:szCs w:val="24"/>
              <w14:ligatures w14:val="standardContextual"/>
            </w:rPr>
          </w:pPr>
          <w:hyperlink w:anchor="_Toc233654418" w:history="1">
            <w:r w:rsidRPr="001947F5">
              <w:rPr>
                <w:rStyle w:val="Hyperlink"/>
                <w:noProof/>
              </w:rPr>
              <w:t>11. Implementation Guidance</w:t>
            </w:r>
            <w:r>
              <w:rPr>
                <w:noProof/>
                <w:webHidden/>
              </w:rPr>
              <w:tab/>
            </w:r>
            <w:r>
              <w:rPr>
                <w:noProof/>
                <w:webHidden/>
              </w:rPr>
              <w:fldChar w:fldCharType="begin"/>
            </w:r>
            <w:r>
              <w:rPr>
                <w:noProof/>
                <w:webHidden/>
              </w:rPr>
              <w:instrText xml:space="preserve"> PAGEREF _Toc233654418 \h </w:instrText>
            </w:r>
            <w:r>
              <w:rPr>
                <w:noProof/>
                <w:webHidden/>
              </w:rPr>
            </w:r>
            <w:r>
              <w:rPr>
                <w:noProof/>
                <w:webHidden/>
              </w:rPr>
              <w:fldChar w:fldCharType="separate"/>
            </w:r>
            <w:r w:rsidR="0008075A">
              <w:rPr>
                <w:noProof/>
                <w:webHidden/>
              </w:rPr>
              <w:t>70</w:t>
            </w:r>
            <w:r>
              <w:rPr>
                <w:noProof/>
                <w:webHidden/>
              </w:rPr>
              <w:fldChar w:fldCharType="end"/>
            </w:r>
          </w:hyperlink>
        </w:p>
        <w:p w14:paraId="4FD2E830" w14:textId="7C278EC3" w:rsidR="00B11DD7" w:rsidRDefault="00B11DD7">
          <w:pPr>
            <w:pStyle w:val="TOC2"/>
            <w:tabs>
              <w:tab w:val="right" w:pos="9196"/>
            </w:tabs>
            <w:rPr>
              <w:rFonts w:asciiTheme="minorHAnsi" w:eastAsiaTheme="minorEastAsia" w:hAnsiTheme="minorHAnsi" w:cstheme="minorBidi"/>
              <w:noProof/>
              <w:kern w:val="2"/>
              <w:sz w:val="24"/>
              <w:szCs w:val="24"/>
              <w14:ligatures w14:val="standardContextual"/>
            </w:rPr>
          </w:pPr>
          <w:hyperlink w:anchor="_Toc233654419" w:history="1">
            <w:r w:rsidRPr="001947F5">
              <w:rPr>
                <w:rStyle w:val="Hyperlink"/>
                <w:noProof/>
              </w:rPr>
              <w:t>11.1 Cross-cutting Practicalities</w:t>
            </w:r>
            <w:r>
              <w:rPr>
                <w:noProof/>
                <w:webHidden/>
              </w:rPr>
              <w:tab/>
            </w:r>
            <w:r>
              <w:rPr>
                <w:noProof/>
                <w:webHidden/>
              </w:rPr>
              <w:fldChar w:fldCharType="begin"/>
            </w:r>
            <w:r>
              <w:rPr>
                <w:noProof/>
                <w:webHidden/>
              </w:rPr>
              <w:instrText xml:space="preserve"> PAGEREF _Toc233654419 \h </w:instrText>
            </w:r>
            <w:r>
              <w:rPr>
                <w:noProof/>
                <w:webHidden/>
              </w:rPr>
            </w:r>
            <w:r>
              <w:rPr>
                <w:noProof/>
                <w:webHidden/>
              </w:rPr>
              <w:fldChar w:fldCharType="separate"/>
            </w:r>
            <w:r w:rsidR="0008075A">
              <w:rPr>
                <w:noProof/>
                <w:webHidden/>
              </w:rPr>
              <w:t>71</w:t>
            </w:r>
            <w:r>
              <w:rPr>
                <w:noProof/>
                <w:webHidden/>
              </w:rPr>
              <w:fldChar w:fldCharType="end"/>
            </w:r>
          </w:hyperlink>
        </w:p>
        <w:p w14:paraId="69226C73" w14:textId="60B993FB" w:rsidR="00B11DD7" w:rsidRDefault="00B11DD7">
          <w:pPr>
            <w:pStyle w:val="TOC2"/>
            <w:tabs>
              <w:tab w:val="right" w:pos="9196"/>
            </w:tabs>
            <w:rPr>
              <w:rFonts w:asciiTheme="minorHAnsi" w:eastAsiaTheme="minorEastAsia" w:hAnsiTheme="minorHAnsi" w:cstheme="minorBidi"/>
              <w:noProof/>
              <w:kern w:val="2"/>
              <w:sz w:val="24"/>
              <w:szCs w:val="24"/>
              <w14:ligatures w14:val="standardContextual"/>
            </w:rPr>
          </w:pPr>
          <w:hyperlink w:anchor="_Toc233654420" w:history="1">
            <w:r w:rsidRPr="001947F5">
              <w:rPr>
                <w:rStyle w:val="Hyperlink"/>
                <w:noProof/>
              </w:rPr>
              <w:t>11.2 Research Institutions</w:t>
            </w:r>
            <w:r>
              <w:rPr>
                <w:noProof/>
                <w:webHidden/>
              </w:rPr>
              <w:tab/>
            </w:r>
            <w:r>
              <w:rPr>
                <w:noProof/>
                <w:webHidden/>
              </w:rPr>
              <w:fldChar w:fldCharType="begin"/>
            </w:r>
            <w:r>
              <w:rPr>
                <w:noProof/>
                <w:webHidden/>
              </w:rPr>
              <w:instrText xml:space="preserve"> PAGEREF _Toc233654420 \h </w:instrText>
            </w:r>
            <w:r>
              <w:rPr>
                <w:noProof/>
                <w:webHidden/>
              </w:rPr>
            </w:r>
            <w:r>
              <w:rPr>
                <w:noProof/>
                <w:webHidden/>
              </w:rPr>
              <w:fldChar w:fldCharType="separate"/>
            </w:r>
            <w:r w:rsidR="0008075A">
              <w:rPr>
                <w:noProof/>
                <w:webHidden/>
              </w:rPr>
              <w:t>71</w:t>
            </w:r>
            <w:r>
              <w:rPr>
                <w:noProof/>
                <w:webHidden/>
              </w:rPr>
              <w:fldChar w:fldCharType="end"/>
            </w:r>
          </w:hyperlink>
        </w:p>
        <w:p w14:paraId="68A77102" w14:textId="1BCC6C65" w:rsidR="00B11DD7" w:rsidRDefault="00B11DD7">
          <w:pPr>
            <w:pStyle w:val="TOC2"/>
            <w:tabs>
              <w:tab w:val="right" w:pos="9196"/>
            </w:tabs>
            <w:rPr>
              <w:rFonts w:asciiTheme="minorHAnsi" w:eastAsiaTheme="minorEastAsia" w:hAnsiTheme="minorHAnsi" w:cstheme="minorBidi"/>
              <w:noProof/>
              <w:kern w:val="2"/>
              <w:sz w:val="24"/>
              <w:szCs w:val="24"/>
              <w14:ligatures w14:val="standardContextual"/>
            </w:rPr>
          </w:pPr>
          <w:hyperlink w:anchor="_Toc233654421" w:history="1">
            <w:r w:rsidRPr="001947F5">
              <w:rPr>
                <w:rStyle w:val="Hyperlink"/>
                <w:noProof/>
              </w:rPr>
              <w:t>11.3 National Research Infrastructures</w:t>
            </w:r>
            <w:r>
              <w:rPr>
                <w:noProof/>
                <w:webHidden/>
              </w:rPr>
              <w:tab/>
            </w:r>
            <w:r>
              <w:rPr>
                <w:noProof/>
                <w:webHidden/>
              </w:rPr>
              <w:fldChar w:fldCharType="begin"/>
            </w:r>
            <w:r>
              <w:rPr>
                <w:noProof/>
                <w:webHidden/>
              </w:rPr>
              <w:instrText xml:space="preserve"> PAGEREF _Toc233654421 \h </w:instrText>
            </w:r>
            <w:r>
              <w:rPr>
                <w:noProof/>
                <w:webHidden/>
              </w:rPr>
            </w:r>
            <w:r>
              <w:rPr>
                <w:noProof/>
                <w:webHidden/>
              </w:rPr>
              <w:fldChar w:fldCharType="separate"/>
            </w:r>
            <w:r w:rsidR="0008075A">
              <w:rPr>
                <w:noProof/>
                <w:webHidden/>
              </w:rPr>
              <w:t>72</w:t>
            </w:r>
            <w:r>
              <w:rPr>
                <w:noProof/>
                <w:webHidden/>
              </w:rPr>
              <w:fldChar w:fldCharType="end"/>
            </w:r>
          </w:hyperlink>
        </w:p>
        <w:p w14:paraId="7AA755E1" w14:textId="6BFC8D17" w:rsidR="00B11DD7" w:rsidRDefault="00B11DD7">
          <w:pPr>
            <w:pStyle w:val="TOC2"/>
            <w:tabs>
              <w:tab w:val="right" w:pos="9196"/>
            </w:tabs>
            <w:rPr>
              <w:rFonts w:asciiTheme="minorHAnsi" w:eastAsiaTheme="minorEastAsia" w:hAnsiTheme="minorHAnsi" w:cstheme="minorBidi"/>
              <w:noProof/>
              <w:kern w:val="2"/>
              <w:sz w:val="24"/>
              <w:szCs w:val="24"/>
              <w14:ligatures w14:val="standardContextual"/>
            </w:rPr>
          </w:pPr>
          <w:hyperlink w:anchor="_Toc233654422" w:history="1">
            <w:r w:rsidRPr="001947F5">
              <w:rPr>
                <w:rStyle w:val="Hyperlink"/>
                <w:noProof/>
              </w:rPr>
              <w:t>11.4 Commercial or Non-profit Vendors</w:t>
            </w:r>
            <w:r>
              <w:rPr>
                <w:noProof/>
                <w:webHidden/>
              </w:rPr>
              <w:tab/>
            </w:r>
            <w:r>
              <w:rPr>
                <w:noProof/>
                <w:webHidden/>
              </w:rPr>
              <w:fldChar w:fldCharType="begin"/>
            </w:r>
            <w:r>
              <w:rPr>
                <w:noProof/>
                <w:webHidden/>
              </w:rPr>
              <w:instrText xml:space="preserve"> PAGEREF _Toc233654422 \h </w:instrText>
            </w:r>
            <w:r>
              <w:rPr>
                <w:noProof/>
                <w:webHidden/>
              </w:rPr>
            </w:r>
            <w:r>
              <w:rPr>
                <w:noProof/>
                <w:webHidden/>
              </w:rPr>
              <w:fldChar w:fldCharType="separate"/>
            </w:r>
            <w:r w:rsidR="0008075A">
              <w:rPr>
                <w:noProof/>
                <w:webHidden/>
              </w:rPr>
              <w:t>73</w:t>
            </w:r>
            <w:r>
              <w:rPr>
                <w:noProof/>
                <w:webHidden/>
              </w:rPr>
              <w:fldChar w:fldCharType="end"/>
            </w:r>
          </w:hyperlink>
        </w:p>
        <w:p w14:paraId="0096981F" w14:textId="4D0D30EE" w:rsidR="00B11DD7" w:rsidRDefault="00B11DD7">
          <w:pPr>
            <w:pStyle w:val="TOC1"/>
            <w:tabs>
              <w:tab w:val="right" w:pos="9196"/>
            </w:tabs>
            <w:rPr>
              <w:rFonts w:asciiTheme="minorHAnsi" w:eastAsiaTheme="minorEastAsia" w:hAnsiTheme="minorHAnsi" w:cstheme="minorBidi"/>
              <w:noProof/>
              <w:kern w:val="2"/>
              <w:sz w:val="24"/>
              <w:szCs w:val="24"/>
              <w14:ligatures w14:val="standardContextual"/>
            </w:rPr>
          </w:pPr>
          <w:hyperlink w:anchor="_Toc233654423" w:history="1">
            <w:r w:rsidRPr="001947F5">
              <w:rPr>
                <w:rStyle w:val="Hyperlink"/>
                <w:noProof/>
              </w:rPr>
              <w:t>12. Blueprint Governance</w:t>
            </w:r>
            <w:r>
              <w:rPr>
                <w:noProof/>
                <w:webHidden/>
              </w:rPr>
              <w:tab/>
            </w:r>
            <w:r>
              <w:rPr>
                <w:noProof/>
                <w:webHidden/>
              </w:rPr>
              <w:fldChar w:fldCharType="begin"/>
            </w:r>
            <w:r>
              <w:rPr>
                <w:noProof/>
                <w:webHidden/>
              </w:rPr>
              <w:instrText xml:space="preserve"> PAGEREF _Toc233654423 \h </w:instrText>
            </w:r>
            <w:r>
              <w:rPr>
                <w:noProof/>
                <w:webHidden/>
              </w:rPr>
            </w:r>
            <w:r>
              <w:rPr>
                <w:noProof/>
                <w:webHidden/>
              </w:rPr>
              <w:fldChar w:fldCharType="separate"/>
            </w:r>
            <w:r w:rsidR="0008075A">
              <w:rPr>
                <w:noProof/>
                <w:webHidden/>
              </w:rPr>
              <w:t>73</w:t>
            </w:r>
            <w:r>
              <w:rPr>
                <w:noProof/>
                <w:webHidden/>
              </w:rPr>
              <w:fldChar w:fldCharType="end"/>
            </w:r>
          </w:hyperlink>
        </w:p>
        <w:p w14:paraId="2C5688A6" w14:textId="39D06E85" w:rsidR="00B11DD7" w:rsidRDefault="00B11DD7">
          <w:pPr>
            <w:pStyle w:val="TOC2"/>
            <w:tabs>
              <w:tab w:val="right" w:pos="9196"/>
            </w:tabs>
            <w:rPr>
              <w:rFonts w:asciiTheme="minorHAnsi" w:eastAsiaTheme="minorEastAsia" w:hAnsiTheme="minorHAnsi" w:cstheme="minorBidi"/>
              <w:noProof/>
              <w:kern w:val="2"/>
              <w:sz w:val="24"/>
              <w:szCs w:val="24"/>
              <w14:ligatures w14:val="standardContextual"/>
            </w:rPr>
          </w:pPr>
          <w:hyperlink w:anchor="_Toc233654424" w:history="1">
            <w:r w:rsidRPr="001947F5">
              <w:rPr>
                <w:rStyle w:val="Hyperlink"/>
                <w:noProof/>
              </w:rPr>
              <w:t>12.1 Ownership and Stewardship</w:t>
            </w:r>
            <w:r>
              <w:rPr>
                <w:noProof/>
                <w:webHidden/>
              </w:rPr>
              <w:tab/>
            </w:r>
            <w:r>
              <w:rPr>
                <w:noProof/>
                <w:webHidden/>
              </w:rPr>
              <w:fldChar w:fldCharType="begin"/>
            </w:r>
            <w:r>
              <w:rPr>
                <w:noProof/>
                <w:webHidden/>
              </w:rPr>
              <w:instrText xml:space="preserve"> PAGEREF _Toc233654424 \h </w:instrText>
            </w:r>
            <w:r>
              <w:rPr>
                <w:noProof/>
                <w:webHidden/>
              </w:rPr>
            </w:r>
            <w:r>
              <w:rPr>
                <w:noProof/>
                <w:webHidden/>
              </w:rPr>
              <w:fldChar w:fldCharType="separate"/>
            </w:r>
            <w:r w:rsidR="0008075A">
              <w:rPr>
                <w:noProof/>
                <w:webHidden/>
              </w:rPr>
              <w:t>73</w:t>
            </w:r>
            <w:r>
              <w:rPr>
                <w:noProof/>
                <w:webHidden/>
              </w:rPr>
              <w:fldChar w:fldCharType="end"/>
            </w:r>
          </w:hyperlink>
        </w:p>
        <w:p w14:paraId="0EC5024E" w14:textId="27BF21CA" w:rsidR="00B11DD7" w:rsidRDefault="00B11DD7">
          <w:pPr>
            <w:pStyle w:val="TOC2"/>
            <w:tabs>
              <w:tab w:val="right" w:pos="9196"/>
            </w:tabs>
            <w:rPr>
              <w:rFonts w:asciiTheme="minorHAnsi" w:eastAsiaTheme="minorEastAsia" w:hAnsiTheme="minorHAnsi" w:cstheme="minorBidi"/>
              <w:noProof/>
              <w:kern w:val="2"/>
              <w:sz w:val="24"/>
              <w:szCs w:val="24"/>
              <w14:ligatures w14:val="standardContextual"/>
            </w:rPr>
          </w:pPr>
          <w:hyperlink w:anchor="_Toc233654425" w:history="1">
            <w:r w:rsidRPr="001947F5">
              <w:rPr>
                <w:rStyle w:val="Hyperlink"/>
                <w:noProof/>
              </w:rPr>
              <w:t>12.2 Maintenance and Continuity</w:t>
            </w:r>
            <w:r>
              <w:rPr>
                <w:noProof/>
                <w:webHidden/>
              </w:rPr>
              <w:tab/>
            </w:r>
            <w:r>
              <w:rPr>
                <w:noProof/>
                <w:webHidden/>
              </w:rPr>
              <w:fldChar w:fldCharType="begin"/>
            </w:r>
            <w:r>
              <w:rPr>
                <w:noProof/>
                <w:webHidden/>
              </w:rPr>
              <w:instrText xml:space="preserve"> PAGEREF _Toc233654425 \h </w:instrText>
            </w:r>
            <w:r>
              <w:rPr>
                <w:noProof/>
                <w:webHidden/>
              </w:rPr>
            </w:r>
            <w:r>
              <w:rPr>
                <w:noProof/>
                <w:webHidden/>
              </w:rPr>
              <w:fldChar w:fldCharType="separate"/>
            </w:r>
            <w:r w:rsidR="0008075A">
              <w:rPr>
                <w:noProof/>
                <w:webHidden/>
              </w:rPr>
              <w:t>73</w:t>
            </w:r>
            <w:r>
              <w:rPr>
                <w:noProof/>
                <w:webHidden/>
              </w:rPr>
              <w:fldChar w:fldCharType="end"/>
            </w:r>
          </w:hyperlink>
        </w:p>
        <w:p w14:paraId="36F61994" w14:textId="4B1E9E0C" w:rsidR="00B11DD7" w:rsidRDefault="00B11DD7">
          <w:pPr>
            <w:pStyle w:val="TOC2"/>
            <w:tabs>
              <w:tab w:val="right" w:pos="9196"/>
            </w:tabs>
            <w:rPr>
              <w:rFonts w:asciiTheme="minorHAnsi" w:eastAsiaTheme="minorEastAsia" w:hAnsiTheme="minorHAnsi" w:cstheme="minorBidi"/>
              <w:noProof/>
              <w:kern w:val="2"/>
              <w:sz w:val="24"/>
              <w:szCs w:val="24"/>
              <w14:ligatures w14:val="standardContextual"/>
            </w:rPr>
          </w:pPr>
          <w:hyperlink w:anchor="_Toc233654426" w:history="1">
            <w:r w:rsidRPr="001947F5">
              <w:rPr>
                <w:rStyle w:val="Hyperlink"/>
                <w:noProof/>
              </w:rPr>
              <w:t>12.3 Platform and Transparency</w:t>
            </w:r>
            <w:r>
              <w:rPr>
                <w:noProof/>
                <w:webHidden/>
              </w:rPr>
              <w:tab/>
            </w:r>
            <w:r>
              <w:rPr>
                <w:noProof/>
                <w:webHidden/>
              </w:rPr>
              <w:fldChar w:fldCharType="begin"/>
            </w:r>
            <w:r>
              <w:rPr>
                <w:noProof/>
                <w:webHidden/>
              </w:rPr>
              <w:instrText xml:space="preserve"> PAGEREF _Toc233654426 \h </w:instrText>
            </w:r>
            <w:r>
              <w:rPr>
                <w:noProof/>
                <w:webHidden/>
              </w:rPr>
            </w:r>
            <w:r>
              <w:rPr>
                <w:noProof/>
                <w:webHidden/>
              </w:rPr>
              <w:fldChar w:fldCharType="separate"/>
            </w:r>
            <w:r w:rsidR="0008075A">
              <w:rPr>
                <w:noProof/>
                <w:webHidden/>
              </w:rPr>
              <w:t>74</w:t>
            </w:r>
            <w:r>
              <w:rPr>
                <w:noProof/>
                <w:webHidden/>
              </w:rPr>
              <w:fldChar w:fldCharType="end"/>
            </w:r>
          </w:hyperlink>
        </w:p>
        <w:p w14:paraId="1A401D8B" w14:textId="16FF4C91" w:rsidR="00B11DD7" w:rsidRDefault="00B11DD7">
          <w:pPr>
            <w:pStyle w:val="TOC2"/>
            <w:tabs>
              <w:tab w:val="right" w:pos="9196"/>
            </w:tabs>
            <w:rPr>
              <w:rFonts w:asciiTheme="minorHAnsi" w:eastAsiaTheme="minorEastAsia" w:hAnsiTheme="minorHAnsi" w:cstheme="minorBidi"/>
              <w:noProof/>
              <w:kern w:val="2"/>
              <w:sz w:val="24"/>
              <w:szCs w:val="24"/>
              <w14:ligatures w14:val="standardContextual"/>
            </w:rPr>
          </w:pPr>
          <w:hyperlink w:anchor="_Toc233654427" w:history="1">
            <w:r w:rsidRPr="001947F5">
              <w:rPr>
                <w:rStyle w:val="Hyperlink"/>
                <w:noProof/>
              </w:rPr>
              <w:t>12.4 Review and Evolution</w:t>
            </w:r>
            <w:r>
              <w:rPr>
                <w:noProof/>
                <w:webHidden/>
              </w:rPr>
              <w:tab/>
            </w:r>
            <w:r>
              <w:rPr>
                <w:noProof/>
                <w:webHidden/>
              </w:rPr>
              <w:fldChar w:fldCharType="begin"/>
            </w:r>
            <w:r>
              <w:rPr>
                <w:noProof/>
                <w:webHidden/>
              </w:rPr>
              <w:instrText xml:space="preserve"> PAGEREF _Toc233654427 \h </w:instrText>
            </w:r>
            <w:r>
              <w:rPr>
                <w:noProof/>
                <w:webHidden/>
              </w:rPr>
            </w:r>
            <w:r>
              <w:rPr>
                <w:noProof/>
                <w:webHidden/>
              </w:rPr>
              <w:fldChar w:fldCharType="separate"/>
            </w:r>
            <w:r w:rsidR="0008075A">
              <w:rPr>
                <w:noProof/>
                <w:webHidden/>
              </w:rPr>
              <w:t>74</w:t>
            </w:r>
            <w:r>
              <w:rPr>
                <w:noProof/>
                <w:webHidden/>
              </w:rPr>
              <w:fldChar w:fldCharType="end"/>
            </w:r>
          </w:hyperlink>
        </w:p>
        <w:p w14:paraId="28BA2667" w14:textId="54AA5B79" w:rsidR="00B11DD7" w:rsidRDefault="00B11DD7">
          <w:pPr>
            <w:pStyle w:val="TOC2"/>
            <w:tabs>
              <w:tab w:val="right" w:pos="9196"/>
            </w:tabs>
            <w:rPr>
              <w:rFonts w:asciiTheme="minorHAnsi" w:eastAsiaTheme="minorEastAsia" w:hAnsiTheme="minorHAnsi" w:cstheme="minorBidi"/>
              <w:noProof/>
              <w:kern w:val="2"/>
              <w:sz w:val="24"/>
              <w:szCs w:val="24"/>
              <w14:ligatures w14:val="standardContextual"/>
            </w:rPr>
          </w:pPr>
          <w:hyperlink w:anchor="_Toc233654428" w:history="1">
            <w:r w:rsidRPr="001947F5">
              <w:rPr>
                <w:rStyle w:val="Hyperlink"/>
                <w:noProof/>
              </w:rPr>
              <w:t>12.5 Scope and Sustainability</w:t>
            </w:r>
            <w:r>
              <w:rPr>
                <w:noProof/>
                <w:webHidden/>
              </w:rPr>
              <w:tab/>
            </w:r>
            <w:r>
              <w:rPr>
                <w:noProof/>
                <w:webHidden/>
              </w:rPr>
              <w:fldChar w:fldCharType="begin"/>
            </w:r>
            <w:r>
              <w:rPr>
                <w:noProof/>
                <w:webHidden/>
              </w:rPr>
              <w:instrText xml:space="preserve"> PAGEREF _Toc233654428 \h </w:instrText>
            </w:r>
            <w:r>
              <w:rPr>
                <w:noProof/>
                <w:webHidden/>
              </w:rPr>
            </w:r>
            <w:r>
              <w:rPr>
                <w:noProof/>
                <w:webHidden/>
              </w:rPr>
              <w:fldChar w:fldCharType="separate"/>
            </w:r>
            <w:r w:rsidR="0008075A">
              <w:rPr>
                <w:noProof/>
                <w:webHidden/>
              </w:rPr>
              <w:t>74</w:t>
            </w:r>
            <w:r>
              <w:rPr>
                <w:noProof/>
                <w:webHidden/>
              </w:rPr>
              <w:fldChar w:fldCharType="end"/>
            </w:r>
          </w:hyperlink>
        </w:p>
        <w:p w14:paraId="08600D25" w14:textId="318B1233" w:rsidR="00B11DD7" w:rsidRDefault="00B11DD7">
          <w:pPr>
            <w:pStyle w:val="TOC1"/>
            <w:tabs>
              <w:tab w:val="right" w:pos="9196"/>
            </w:tabs>
            <w:rPr>
              <w:rFonts w:asciiTheme="minorHAnsi" w:eastAsiaTheme="minorEastAsia" w:hAnsiTheme="minorHAnsi" w:cstheme="minorBidi"/>
              <w:noProof/>
              <w:kern w:val="2"/>
              <w:sz w:val="24"/>
              <w:szCs w:val="24"/>
              <w14:ligatures w14:val="standardContextual"/>
            </w:rPr>
          </w:pPr>
          <w:hyperlink w:anchor="_Toc233654429" w:history="1">
            <w:r w:rsidRPr="001947F5">
              <w:rPr>
                <w:rStyle w:val="Hyperlink"/>
                <w:noProof/>
              </w:rPr>
              <w:t>13. Open Questions and Future Iterations</w:t>
            </w:r>
            <w:r>
              <w:rPr>
                <w:noProof/>
                <w:webHidden/>
              </w:rPr>
              <w:tab/>
            </w:r>
            <w:r>
              <w:rPr>
                <w:noProof/>
                <w:webHidden/>
              </w:rPr>
              <w:fldChar w:fldCharType="begin"/>
            </w:r>
            <w:r>
              <w:rPr>
                <w:noProof/>
                <w:webHidden/>
              </w:rPr>
              <w:instrText xml:space="preserve"> PAGEREF _Toc233654429 \h </w:instrText>
            </w:r>
            <w:r>
              <w:rPr>
                <w:noProof/>
                <w:webHidden/>
              </w:rPr>
            </w:r>
            <w:r>
              <w:rPr>
                <w:noProof/>
                <w:webHidden/>
              </w:rPr>
              <w:fldChar w:fldCharType="separate"/>
            </w:r>
            <w:r w:rsidR="0008075A">
              <w:rPr>
                <w:noProof/>
                <w:webHidden/>
              </w:rPr>
              <w:t>75</w:t>
            </w:r>
            <w:r>
              <w:rPr>
                <w:noProof/>
                <w:webHidden/>
              </w:rPr>
              <w:fldChar w:fldCharType="end"/>
            </w:r>
          </w:hyperlink>
        </w:p>
        <w:p w14:paraId="67E5021B" w14:textId="78B6BE1E" w:rsidR="00B11DD7" w:rsidRDefault="00B11DD7">
          <w:pPr>
            <w:pStyle w:val="TOC2"/>
            <w:tabs>
              <w:tab w:val="right" w:pos="9196"/>
            </w:tabs>
            <w:rPr>
              <w:rFonts w:asciiTheme="minorHAnsi" w:eastAsiaTheme="minorEastAsia" w:hAnsiTheme="minorHAnsi" w:cstheme="minorBidi"/>
              <w:noProof/>
              <w:kern w:val="2"/>
              <w:sz w:val="24"/>
              <w:szCs w:val="24"/>
              <w14:ligatures w14:val="standardContextual"/>
            </w:rPr>
          </w:pPr>
          <w:hyperlink w:anchor="_Toc233654430" w:history="1">
            <w:r w:rsidRPr="001947F5">
              <w:rPr>
                <w:rStyle w:val="Hyperlink"/>
                <w:noProof/>
              </w:rPr>
              <w:t>13.1 Unresolved Design Questions</w:t>
            </w:r>
            <w:r>
              <w:rPr>
                <w:noProof/>
                <w:webHidden/>
              </w:rPr>
              <w:tab/>
            </w:r>
            <w:r>
              <w:rPr>
                <w:noProof/>
                <w:webHidden/>
              </w:rPr>
              <w:fldChar w:fldCharType="begin"/>
            </w:r>
            <w:r>
              <w:rPr>
                <w:noProof/>
                <w:webHidden/>
              </w:rPr>
              <w:instrText xml:space="preserve"> PAGEREF _Toc233654430 \h </w:instrText>
            </w:r>
            <w:r>
              <w:rPr>
                <w:noProof/>
                <w:webHidden/>
              </w:rPr>
            </w:r>
            <w:r>
              <w:rPr>
                <w:noProof/>
                <w:webHidden/>
              </w:rPr>
              <w:fldChar w:fldCharType="separate"/>
            </w:r>
            <w:r w:rsidR="0008075A">
              <w:rPr>
                <w:noProof/>
                <w:webHidden/>
              </w:rPr>
              <w:t>75</w:t>
            </w:r>
            <w:r>
              <w:rPr>
                <w:noProof/>
                <w:webHidden/>
              </w:rPr>
              <w:fldChar w:fldCharType="end"/>
            </w:r>
          </w:hyperlink>
        </w:p>
        <w:p w14:paraId="578EB274" w14:textId="79D6ACEB" w:rsidR="00B11DD7" w:rsidRDefault="00B11DD7">
          <w:pPr>
            <w:pStyle w:val="TOC2"/>
            <w:tabs>
              <w:tab w:val="right" w:pos="9196"/>
            </w:tabs>
            <w:rPr>
              <w:rFonts w:asciiTheme="minorHAnsi" w:eastAsiaTheme="minorEastAsia" w:hAnsiTheme="minorHAnsi" w:cstheme="minorBidi"/>
              <w:noProof/>
              <w:kern w:val="2"/>
              <w:sz w:val="24"/>
              <w:szCs w:val="24"/>
              <w14:ligatures w14:val="standardContextual"/>
            </w:rPr>
          </w:pPr>
          <w:hyperlink w:anchor="_Toc233654431" w:history="1">
            <w:r w:rsidRPr="001947F5">
              <w:rPr>
                <w:rStyle w:val="Hyperlink"/>
                <w:noProof/>
              </w:rPr>
              <w:t>13.2 Roadmap for Future Iterations</w:t>
            </w:r>
            <w:r>
              <w:rPr>
                <w:noProof/>
                <w:webHidden/>
              </w:rPr>
              <w:tab/>
            </w:r>
            <w:r>
              <w:rPr>
                <w:noProof/>
                <w:webHidden/>
              </w:rPr>
              <w:fldChar w:fldCharType="begin"/>
            </w:r>
            <w:r>
              <w:rPr>
                <w:noProof/>
                <w:webHidden/>
              </w:rPr>
              <w:instrText xml:space="preserve"> PAGEREF _Toc233654431 \h </w:instrText>
            </w:r>
            <w:r>
              <w:rPr>
                <w:noProof/>
                <w:webHidden/>
              </w:rPr>
            </w:r>
            <w:r>
              <w:rPr>
                <w:noProof/>
                <w:webHidden/>
              </w:rPr>
              <w:fldChar w:fldCharType="separate"/>
            </w:r>
            <w:r w:rsidR="0008075A">
              <w:rPr>
                <w:noProof/>
                <w:webHidden/>
              </w:rPr>
              <w:t>76</w:t>
            </w:r>
            <w:r>
              <w:rPr>
                <w:noProof/>
                <w:webHidden/>
              </w:rPr>
              <w:fldChar w:fldCharType="end"/>
            </w:r>
          </w:hyperlink>
        </w:p>
        <w:p w14:paraId="1860F485" w14:textId="1C7F956A" w:rsidR="00B11DD7" w:rsidRDefault="00B11DD7">
          <w:pPr>
            <w:pStyle w:val="TOC1"/>
            <w:tabs>
              <w:tab w:val="right" w:pos="9196"/>
            </w:tabs>
            <w:rPr>
              <w:rFonts w:asciiTheme="minorHAnsi" w:eastAsiaTheme="minorEastAsia" w:hAnsiTheme="minorHAnsi" w:cstheme="minorBidi"/>
              <w:noProof/>
              <w:kern w:val="2"/>
              <w:sz w:val="24"/>
              <w:szCs w:val="24"/>
              <w14:ligatures w14:val="standardContextual"/>
            </w:rPr>
          </w:pPr>
          <w:hyperlink w:anchor="_Toc233654432" w:history="1">
            <w:r w:rsidRPr="001947F5">
              <w:rPr>
                <w:rStyle w:val="Hyperlink"/>
                <w:noProof/>
              </w:rPr>
              <w:t>14. Appendices</w:t>
            </w:r>
            <w:r>
              <w:rPr>
                <w:noProof/>
                <w:webHidden/>
              </w:rPr>
              <w:tab/>
            </w:r>
            <w:r>
              <w:rPr>
                <w:noProof/>
                <w:webHidden/>
              </w:rPr>
              <w:fldChar w:fldCharType="begin"/>
            </w:r>
            <w:r>
              <w:rPr>
                <w:noProof/>
                <w:webHidden/>
              </w:rPr>
              <w:instrText xml:space="preserve"> PAGEREF _Toc233654432 \h </w:instrText>
            </w:r>
            <w:r>
              <w:rPr>
                <w:noProof/>
                <w:webHidden/>
              </w:rPr>
            </w:r>
            <w:r>
              <w:rPr>
                <w:noProof/>
                <w:webHidden/>
              </w:rPr>
              <w:fldChar w:fldCharType="separate"/>
            </w:r>
            <w:r w:rsidR="0008075A">
              <w:rPr>
                <w:noProof/>
                <w:webHidden/>
              </w:rPr>
              <w:t>78</w:t>
            </w:r>
            <w:r>
              <w:rPr>
                <w:noProof/>
                <w:webHidden/>
              </w:rPr>
              <w:fldChar w:fldCharType="end"/>
            </w:r>
          </w:hyperlink>
        </w:p>
        <w:p w14:paraId="5A9146C4" w14:textId="72F8E403" w:rsidR="00B11DD7" w:rsidRDefault="00B11DD7">
          <w:pPr>
            <w:pStyle w:val="TOC2"/>
            <w:tabs>
              <w:tab w:val="right" w:pos="9196"/>
            </w:tabs>
            <w:rPr>
              <w:rFonts w:asciiTheme="minorHAnsi" w:eastAsiaTheme="minorEastAsia" w:hAnsiTheme="minorHAnsi" w:cstheme="minorBidi"/>
              <w:noProof/>
              <w:kern w:val="2"/>
              <w:sz w:val="24"/>
              <w:szCs w:val="24"/>
              <w14:ligatures w14:val="standardContextual"/>
            </w:rPr>
          </w:pPr>
          <w:hyperlink w:anchor="_Toc233654433" w:history="1">
            <w:r w:rsidRPr="001947F5">
              <w:rPr>
                <w:rStyle w:val="Hyperlink"/>
                <w:noProof/>
              </w:rPr>
              <w:t>Appendix A: Glossary of Terms</w:t>
            </w:r>
            <w:r>
              <w:rPr>
                <w:noProof/>
                <w:webHidden/>
              </w:rPr>
              <w:tab/>
            </w:r>
            <w:r>
              <w:rPr>
                <w:noProof/>
                <w:webHidden/>
              </w:rPr>
              <w:fldChar w:fldCharType="begin"/>
            </w:r>
            <w:r>
              <w:rPr>
                <w:noProof/>
                <w:webHidden/>
              </w:rPr>
              <w:instrText xml:space="preserve"> PAGEREF _Toc233654433 \h </w:instrText>
            </w:r>
            <w:r>
              <w:rPr>
                <w:noProof/>
                <w:webHidden/>
              </w:rPr>
            </w:r>
            <w:r>
              <w:rPr>
                <w:noProof/>
                <w:webHidden/>
              </w:rPr>
              <w:fldChar w:fldCharType="separate"/>
            </w:r>
            <w:r w:rsidR="0008075A">
              <w:rPr>
                <w:noProof/>
                <w:webHidden/>
              </w:rPr>
              <w:t>78</w:t>
            </w:r>
            <w:r>
              <w:rPr>
                <w:noProof/>
                <w:webHidden/>
              </w:rPr>
              <w:fldChar w:fldCharType="end"/>
            </w:r>
          </w:hyperlink>
        </w:p>
        <w:p w14:paraId="1254ACBD" w14:textId="0E870889" w:rsidR="00B11DD7" w:rsidRDefault="00B11DD7">
          <w:pPr>
            <w:pStyle w:val="TOC2"/>
            <w:tabs>
              <w:tab w:val="right" w:pos="9196"/>
            </w:tabs>
            <w:rPr>
              <w:rFonts w:asciiTheme="minorHAnsi" w:eastAsiaTheme="minorEastAsia" w:hAnsiTheme="minorHAnsi" w:cstheme="minorBidi"/>
              <w:noProof/>
              <w:kern w:val="2"/>
              <w:sz w:val="24"/>
              <w:szCs w:val="24"/>
              <w14:ligatures w14:val="standardContextual"/>
            </w:rPr>
          </w:pPr>
          <w:hyperlink w:anchor="_Toc233654434" w:history="1">
            <w:r w:rsidRPr="001947F5">
              <w:rPr>
                <w:rStyle w:val="Hyperlink"/>
                <w:noProof/>
              </w:rPr>
              <w:t>Appendix B: Related Resources</w:t>
            </w:r>
            <w:r>
              <w:rPr>
                <w:noProof/>
                <w:webHidden/>
              </w:rPr>
              <w:tab/>
            </w:r>
            <w:r>
              <w:rPr>
                <w:noProof/>
                <w:webHidden/>
              </w:rPr>
              <w:fldChar w:fldCharType="begin"/>
            </w:r>
            <w:r>
              <w:rPr>
                <w:noProof/>
                <w:webHidden/>
              </w:rPr>
              <w:instrText xml:space="preserve"> PAGEREF _Toc233654434 \h </w:instrText>
            </w:r>
            <w:r>
              <w:rPr>
                <w:noProof/>
                <w:webHidden/>
              </w:rPr>
            </w:r>
            <w:r>
              <w:rPr>
                <w:noProof/>
                <w:webHidden/>
              </w:rPr>
              <w:fldChar w:fldCharType="separate"/>
            </w:r>
            <w:r w:rsidR="0008075A">
              <w:rPr>
                <w:noProof/>
                <w:webHidden/>
              </w:rPr>
              <w:t>81</w:t>
            </w:r>
            <w:r>
              <w:rPr>
                <w:noProof/>
                <w:webHidden/>
              </w:rPr>
              <w:fldChar w:fldCharType="end"/>
            </w:r>
          </w:hyperlink>
        </w:p>
        <w:p w14:paraId="557398D7" w14:textId="7692D126" w:rsidR="00B11DD7" w:rsidRDefault="00B11DD7">
          <w:pPr>
            <w:pStyle w:val="TOC2"/>
            <w:tabs>
              <w:tab w:val="right" w:pos="9196"/>
            </w:tabs>
            <w:rPr>
              <w:rFonts w:asciiTheme="minorHAnsi" w:eastAsiaTheme="minorEastAsia" w:hAnsiTheme="minorHAnsi" w:cstheme="minorBidi"/>
              <w:noProof/>
              <w:kern w:val="2"/>
              <w:sz w:val="24"/>
              <w:szCs w:val="24"/>
              <w14:ligatures w14:val="standardContextual"/>
            </w:rPr>
          </w:pPr>
          <w:hyperlink w:anchor="_Toc233654435" w:history="1">
            <w:r w:rsidRPr="001947F5">
              <w:rPr>
                <w:rStyle w:val="Hyperlink"/>
                <w:noProof/>
              </w:rPr>
              <w:t>Appendix C: Acknowledgements</w:t>
            </w:r>
            <w:r>
              <w:rPr>
                <w:noProof/>
                <w:webHidden/>
              </w:rPr>
              <w:tab/>
            </w:r>
            <w:r>
              <w:rPr>
                <w:noProof/>
                <w:webHidden/>
              </w:rPr>
              <w:fldChar w:fldCharType="begin"/>
            </w:r>
            <w:r>
              <w:rPr>
                <w:noProof/>
                <w:webHidden/>
              </w:rPr>
              <w:instrText xml:space="preserve"> PAGEREF _Toc233654435 \h </w:instrText>
            </w:r>
            <w:r>
              <w:rPr>
                <w:noProof/>
                <w:webHidden/>
              </w:rPr>
            </w:r>
            <w:r>
              <w:rPr>
                <w:noProof/>
                <w:webHidden/>
              </w:rPr>
              <w:fldChar w:fldCharType="separate"/>
            </w:r>
            <w:r w:rsidR="0008075A">
              <w:rPr>
                <w:noProof/>
                <w:webHidden/>
              </w:rPr>
              <w:t>89</w:t>
            </w:r>
            <w:r>
              <w:rPr>
                <w:noProof/>
                <w:webHidden/>
              </w:rPr>
              <w:fldChar w:fldCharType="end"/>
            </w:r>
          </w:hyperlink>
        </w:p>
        <w:p w14:paraId="4EBB4333" w14:textId="23E260F5" w:rsidR="00B11DD7" w:rsidRDefault="00B11DD7">
          <w:pPr>
            <w:pStyle w:val="TOC3"/>
            <w:tabs>
              <w:tab w:val="right" w:pos="9196"/>
            </w:tabs>
            <w:rPr>
              <w:rFonts w:asciiTheme="minorHAnsi" w:eastAsiaTheme="minorEastAsia" w:hAnsiTheme="minorHAnsi" w:cstheme="minorBidi"/>
              <w:noProof/>
              <w:kern w:val="2"/>
              <w:sz w:val="24"/>
              <w:szCs w:val="24"/>
              <w14:ligatures w14:val="standardContextual"/>
            </w:rPr>
          </w:pPr>
          <w:hyperlink w:anchor="_Toc233654436" w:history="1">
            <w:r w:rsidRPr="001947F5">
              <w:rPr>
                <w:rStyle w:val="Hyperlink"/>
                <w:noProof/>
              </w:rPr>
              <w:t>Blueprint Authors</w:t>
            </w:r>
            <w:r>
              <w:rPr>
                <w:noProof/>
                <w:webHidden/>
              </w:rPr>
              <w:tab/>
            </w:r>
            <w:r>
              <w:rPr>
                <w:noProof/>
                <w:webHidden/>
              </w:rPr>
              <w:fldChar w:fldCharType="begin"/>
            </w:r>
            <w:r>
              <w:rPr>
                <w:noProof/>
                <w:webHidden/>
              </w:rPr>
              <w:instrText xml:space="preserve"> PAGEREF _Toc233654436 \h </w:instrText>
            </w:r>
            <w:r>
              <w:rPr>
                <w:noProof/>
                <w:webHidden/>
              </w:rPr>
            </w:r>
            <w:r>
              <w:rPr>
                <w:noProof/>
                <w:webHidden/>
              </w:rPr>
              <w:fldChar w:fldCharType="separate"/>
            </w:r>
            <w:r w:rsidR="0008075A">
              <w:rPr>
                <w:noProof/>
                <w:webHidden/>
              </w:rPr>
              <w:t>89</w:t>
            </w:r>
            <w:r>
              <w:rPr>
                <w:noProof/>
                <w:webHidden/>
              </w:rPr>
              <w:fldChar w:fldCharType="end"/>
            </w:r>
          </w:hyperlink>
        </w:p>
        <w:p w14:paraId="010DE63B" w14:textId="43B07136" w:rsidR="00B11DD7" w:rsidRDefault="00B11DD7">
          <w:pPr>
            <w:pStyle w:val="TOC2"/>
            <w:tabs>
              <w:tab w:val="right" w:pos="9196"/>
            </w:tabs>
            <w:rPr>
              <w:rFonts w:asciiTheme="minorHAnsi" w:eastAsiaTheme="minorEastAsia" w:hAnsiTheme="minorHAnsi" w:cstheme="minorBidi"/>
              <w:noProof/>
              <w:kern w:val="2"/>
              <w:sz w:val="24"/>
              <w:szCs w:val="24"/>
              <w14:ligatures w14:val="standardContextual"/>
            </w:rPr>
          </w:pPr>
          <w:hyperlink w:anchor="_Toc233654437" w:history="1">
            <w:r w:rsidRPr="001947F5">
              <w:rPr>
                <w:rStyle w:val="Hyperlink"/>
                <w:noProof/>
              </w:rPr>
              <w:t>Appendix D: Potential Data Director Blueprint Implementors</w:t>
            </w:r>
            <w:r>
              <w:rPr>
                <w:noProof/>
                <w:webHidden/>
              </w:rPr>
              <w:tab/>
            </w:r>
            <w:r>
              <w:rPr>
                <w:noProof/>
                <w:webHidden/>
              </w:rPr>
              <w:fldChar w:fldCharType="begin"/>
            </w:r>
            <w:r>
              <w:rPr>
                <w:noProof/>
                <w:webHidden/>
              </w:rPr>
              <w:instrText xml:space="preserve"> PAGEREF _Toc233654437 \h </w:instrText>
            </w:r>
            <w:r>
              <w:rPr>
                <w:noProof/>
                <w:webHidden/>
              </w:rPr>
            </w:r>
            <w:r>
              <w:rPr>
                <w:noProof/>
                <w:webHidden/>
              </w:rPr>
              <w:fldChar w:fldCharType="separate"/>
            </w:r>
            <w:r w:rsidR="0008075A">
              <w:rPr>
                <w:noProof/>
                <w:webHidden/>
              </w:rPr>
              <w:t>93</w:t>
            </w:r>
            <w:r>
              <w:rPr>
                <w:noProof/>
                <w:webHidden/>
              </w:rPr>
              <w:fldChar w:fldCharType="end"/>
            </w:r>
          </w:hyperlink>
        </w:p>
        <w:p w14:paraId="0D460BBA" w14:textId="466CD50E" w:rsidR="00B11DD7" w:rsidRDefault="00B11DD7">
          <w:pPr>
            <w:pStyle w:val="TOC2"/>
            <w:tabs>
              <w:tab w:val="right" w:pos="9196"/>
            </w:tabs>
            <w:rPr>
              <w:rFonts w:asciiTheme="minorHAnsi" w:eastAsiaTheme="minorEastAsia" w:hAnsiTheme="minorHAnsi" w:cstheme="minorBidi"/>
              <w:noProof/>
              <w:kern w:val="2"/>
              <w:sz w:val="24"/>
              <w:szCs w:val="24"/>
              <w14:ligatures w14:val="standardContextual"/>
            </w:rPr>
          </w:pPr>
          <w:hyperlink w:anchor="_Toc233654438" w:history="1">
            <w:r w:rsidRPr="001947F5">
              <w:rPr>
                <w:rStyle w:val="Hyperlink"/>
                <w:noProof/>
              </w:rPr>
              <w:t>Appendix E: Tool Usage</w:t>
            </w:r>
            <w:r>
              <w:rPr>
                <w:noProof/>
                <w:webHidden/>
              </w:rPr>
              <w:tab/>
            </w:r>
            <w:r>
              <w:rPr>
                <w:noProof/>
                <w:webHidden/>
              </w:rPr>
              <w:fldChar w:fldCharType="begin"/>
            </w:r>
            <w:r>
              <w:rPr>
                <w:noProof/>
                <w:webHidden/>
              </w:rPr>
              <w:instrText xml:space="preserve"> PAGEREF _Toc233654438 \h </w:instrText>
            </w:r>
            <w:r>
              <w:rPr>
                <w:noProof/>
                <w:webHidden/>
              </w:rPr>
            </w:r>
            <w:r>
              <w:rPr>
                <w:noProof/>
                <w:webHidden/>
              </w:rPr>
              <w:fldChar w:fldCharType="separate"/>
            </w:r>
            <w:r w:rsidR="0008075A">
              <w:rPr>
                <w:noProof/>
                <w:webHidden/>
              </w:rPr>
              <w:t>94</w:t>
            </w:r>
            <w:r>
              <w:rPr>
                <w:noProof/>
                <w:webHidden/>
              </w:rPr>
              <w:fldChar w:fldCharType="end"/>
            </w:r>
          </w:hyperlink>
        </w:p>
        <w:p w14:paraId="533C8B14" w14:textId="35CE8D53" w:rsidR="00B11DD7" w:rsidRDefault="00B11DD7">
          <w:pPr>
            <w:pStyle w:val="TOC2"/>
            <w:tabs>
              <w:tab w:val="right" w:pos="9196"/>
            </w:tabs>
            <w:rPr>
              <w:rFonts w:asciiTheme="minorHAnsi" w:eastAsiaTheme="minorEastAsia" w:hAnsiTheme="minorHAnsi" w:cstheme="minorBidi"/>
              <w:noProof/>
              <w:kern w:val="2"/>
              <w:sz w:val="24"/>
              <w:szCs w:val="24"/>
              <w14:ligatures w14:val="standardContextual"/>
            </w:rPr>
          </w:pPr>
          <w:hyperlink w:anchor="_Toc233654439" w:history="1">
            <w:r w:rsidRPr="001947F5">
              <w:rPr>
                <w:rStyle w:val="Hyperlink"/>
                <w:noProof/>
              </w:rPr>
              <w:t>Appendix F: Partners and Document Information</w:t>
            </w:r>
            <w:r>
              <w:rPr>
                <w:noProof/>
                <w:webHidden/>
              </w:rPr>
              <w:tab/>
            </w:r>
            <w:r>
              <w:rPr>
                <w:noProof/>
                <w:webHidden/>
              </w:rPr>
              <w:fldChar w:fldCharType="begin"/>
            </w:r>
            <w:r>
              <w:rPr>
                <w:noProof/>
                <w:webHidden/>
              </w:rPr>
              <w:instrText xml:space="preserve"> PAGEREF _Toc233654439 \h </w:instrText>
            </w:r>
            <w:r>
              <w:rPr>
                <w:noProof/>
                <w:webHidden/>
              </w:rPr>
            </w:r>
            <w:r>
              <w:rPr>
                <w:noProof/>
                <w:webHidden/>
              </w:rPr>
              <w:fldChar w:fldCharType="separate"/>
            </w:r>
            <w:r w:rsidR="0008075A">
              <w:rPr>
                <w:noProof/>
                <w:webHidden/>
              </w:rPr>
              <w:t>94</w:t>
            </w:r>
            <w:r>
              <w:rPr>
                <w:noProof/>
                <w:webHidden/>
              </w:rPr>
              <w:fldChar w:fldCharType="end"/>
            </w:r>
          </w:hyperlink>
        </w:p>
        <w:p w14:paraId="54B05F8F" w14:textId="22FCED47" w:rsidR="00B11DD7" w:rsidRDefault="00B11DD7">
          <w:pPr>
            <w:pStyle w:val="TOC3"/>
            <w:tabs>
              <w:tab w:val="right" w:pos="9196"/>
            </w:tabs>
            <w:rPr>
              <w:rFonts w:asciiTheme="minorHAnsi" w:eastAsiaTheme="minorEastAsia" w:hAnsiTheme="minorHAnsi" w:cstheme="minorBidi"/>
              <w:noProof/>
              <w:kern w:val="2"/>
              <w:sz w:val="24"/>
              <w:szCs w:val="24"/>
              <w14:ligatures w14:val="standardContextual"/>
            </w:rPr>
          </w:pPr>
          <w:hyperlink w:anchor="_Toc233654440" w:history="1">
            <w:r w:rsidRPr="001947F5">
              <w:rPr>
                <w:rStyle w:val="Hyperlink"/>
                <w:noProof/>
              </w:rPr>
              <w:t>About the RDA</w:t>
            </w:r>
            <w:r>
              <w:rPr>
                <w:noProof/>
                <w:webHidden/>
              </w:rPr>
              <w:tab/>
            </w:r>
            <w:r>
              <w:rPr>
                <w:noProof/>
                <w:webHidden/>
              </w:rPr>
              <w:fldChar w:fldCharType="begin"/>
            </w:r>
            <w:r>
              <w:rPr>
                <w:noProof/>
                <w:webHidden/>
              </w:rPr>
              <w:instrText xml:space="preserve"> PAGEREF _Toc233654440 \h </w:instrText>
            </w:r>
            <w:r>
              <w:rPr>
                <w:noProof/>
                <w:webHidden/>
              </w:rPr>
            </w:r>
            <w:r>
              <w:rPr>
                <w:noProof/>
                <w:webHidden/>
              </w:rPr>
              <w:fldChar w:fldCharType="separate"/>
            </w:r>
            <w:r w:rsidR="0008075A">
              <w:rPr>
                <w:noProof/>
                <w:webHidden/>
              </w:rPr>
              <w:t>94</w:t>
            </w:r>
            <w:r>
              <w:rPr>
                <w:noProof/>
                <w:webHidden/>
              </w:rPr>
              <w:fldChar w:fldCharType="end"/>
            </w:r>
          </w:hyperlink>
        </w:p>
        <w:p w14:paraId="0D4ED8A7" w14:textId="723E3F63" w:rsidR="00B11DD7" w:rsidRDefault="00B11DD7">
          <w:pPr>
            <w:pStyle w:val="TOC3"/>
            <w:tabs>
              <w:tab w:val="right" w:pos="9196"/>
            </w:tabs>
            <w:rPr>
              <w:rFonts w:asciiTheme="minorHAnsi" w:eastAsiaTheme="minorEastAsia" w:hAnsiTheme="minorHAnsi" w:cstheme="minorBidi"/>
              <w:noProof/>
              <w:kern w:val="2"/>
              <w:sz w:val="24"/>
              <w:szCs w:val="24"/>
              <w14:ligatures w14:val="standardContextual"/>
            </w:rPr>
          </w:pPr>
          <w:hyperlink w:anchor="_Toc233654441" w:history="1">
            <w:r w:rsidRPr="001947F5">
              <w:rPr>
                <w:rStyle w:val="Hyperlink"/>
                <w:noProof/>
              </w:rPr>
              <w:t>About Microsoft</w:t>
            </w:r>
            <w:r>
              <w:rPr>
                <w:noProof/>
                <w:webHidden/>
              </w:rPr>
              <w:tab/>
            </w:r>
            <w:r>
              <w:rPr>
                <w:noProof/>
                <w:webHidden/>
              </w:rPr>
              <w:fldChar w:fldCharType="begin"/>
            </w:r>
            <w:r>
              <w:rPr>
                <w:noProof/>
                <w:webHidden/>
              </w:rPr>
              <w:instrText xml:space="preserve"> PAGEREF _Toc233654441 \h </w:instrText>
            </w:r>
            <w:r>
              <w:rPr>
                <w:noProof/>
                <w:webHidden/>
              </w:rPr>
            </w:r>
            <w:r>
              <w:rPr>
                <w:noProof/>
                <w:webHidden/>
              </w:rPr>
              <w:fldChar w:fldCharType="separate"/>
            </w:r>
            <w:r w:rsidR="0008075A">
              <w:rPr>
                <w:noProof/>
                <w:webHidden/>
              </w:rPr>
              <w:t>95</w:t>
            </w:r>
            <w:r>
              <w:rPr>
                <w:noProof/>
                <w:webHidden/>
              </w:rPr>
              <w:fldChar w:fldCharType="end"/>
            </w:r>
          </w:hyperlink>
        </w:p>
        <w:p w14:paraId="24DA4122" w14:textId="3DF4BCC4" w:rsidR="00B11DD7" w:rsidRDefault="00B11DD7">
          <w:pPr>
            <w:pStyle w:val="TOC3"/>
            <w:tabs>
              <w:tab w:val="right" w:pos="9196"/>
            </w:tabs>
            <w:rPr>
              <w:rFonts w:asciiTheme="minorHAnsi" w:eastAsiaTheme="minorEastAsia" w:hAnsiTheme="minorHAnsi" w:cstheme="minorBidi"/>
              <w:noProof/>
              <w:kern w:val="2"/>
              <w:sz w:val="24"/>
              <w:szCs w:val="24"/>
              <w14:ligatures w14:val="standardContextual"/>
            </w:rPr>
          </w:pPr>
          <w:hyperlink w:anchor="_Toc233654442" w:history="1">
            <w:r w:rsidRPr="001947F5">
              <w:rPr>
                <w:rStyle w:val="Hyperlink"/>
                <w:noProof/>
              </w:rPr>
              <w:t>Licence and Contact</w:t>
            </w:r>
            <w:r>
              <w:rPr>
                <w:noProof/>
                <w:webHidden/>
              </w:rPr>
              <w:tab/>
            </w:r>
            <w:r>
              <w:rPr>
                <w:noProof/>
                <w:webHidden/>
              </w:rPr>
              <w:fldChar w:fldCharType="begin"/>
            </w:r>
            <w:r>
              <w:rPr>
                <w:noProof/>
                <w:webHidden/>
              </w:rPr>
              <w:instrText xml:space="preserve"> PAGEREF _Toc233654442 \h </w:instrText>
            </w:r>
            <w:r>
              <w:rPr>
                <w:noProof/>
                <w:webHidden/>
              </w:rPr>
            </w:r>
            <w:r>
              <w:rPr>
                <w:noProof/>
                <w:webHidden/>
              </w:rPr>
              <w:fldChar w:fldCharType="separate"/>
            </w:r>
            <w:r w:rsidR="0008075A">
              <w:rPr>
                <w:noProof/>
                <w:webHidden/>
              </w:rPr>
              <w:t>95</w:t>
            </w:r>
            <w:r>
              <w:rPr>
                <w:noProof/>
                <w:webHidden/>
              </w:rPr>
              <w:fldChar w:fldCharType="end"/>
            </w:r>
          </w:hyperlink>
        </w:p>
        <w:p w14:paraId="00000051" w14:textId="64016D3F" w:rsidR="00031725" w:rsidRDefault="00000000">
          <w:pPr>
            <w:widowControl w:val="0"/>
            <w:tabs>
              <w:tab w:val="right" w:pos="12000"/>
            </w:tabs>
            <w:spacing w:before="60" w:after="0" w:line="240" w:lineRule="auto"/>
            <w:ind w:left="720"/>
            <w:rPr>
              <w:color w:val="000000"/>
            </w:rPr>
          </w:pPr>
          <w:r>
            <w:fldChar w:fldCharType="end"/>
          </w:r>
        </w:p>
      </w:sdtContent>
    </w:sdt>
    <w:p w14:paraId="00000052" w14:textId="77777777" w:rsidR="00031725" w:rsidRDefault="00031725"/>
    <w:p w14:paraId="00000053" w14:textId="77777777" w:rsidR="00031725" w:rsidRDefault="00000000">
      <w:r>
        <w:br w:type="page"/>
      </w:r>
    </w:p>
    <w:p w14:paraId="00000054" w14:textId="77777777" w:rsidR="00031725" w:rsidRDefault="00000000">
      <w:pPr>
        <w:pBdr>
          <w:bottom w:val="single" w:sz="4" w:space="4" w:color="005B52"/>
        </w:pBdr>
        <w:rPr>
          <w:b/>
          <w:bCs/>
          <w:color w:val="005B52"/>
          <w:sz w:val="36"/>
          <w:szCs w:val="36"/>
        </w:rPr>
      </w:pPr>
      <w:r>
        <w:rPr>
          <w:b/>
          <w:bCs/>
          <w:color w:val="005B52"/>
          <w:sz w:val="36"/>
          <w:szCs w:val="36"/>
        </w:rPr>
        <w:lastRenderedPageBreak/>
        <w:t>Document Control</w:t>
      </w:r>
    </w:p>
    <w:p w14:paraId="00000055" w14:textId="77777777" w:rsidR="00031725" w:rsidRDefault="00000000">
      <w:pPr>
        <w:rPr>
          <w:b/>
          <w:bCs/>
          <w:color w:val="6B2828"/>
          <w:sz w:val="30"/>
          <w:szCs w:val="30"/>
        </w:rPr>
      </w:pPr>
      <w:r>
        <w:rPr>
          <w:b/>
          <w:bCs/>
          <w:color w:val="6B2828"/>
          <w:sz w:val="30"/>
          <w:szCs w:val="30"/>
        </w:rPr>
        <w:t>Version History</w:t>
      </w:r>
    </w:p>
    <w:tbl>
      <w:tblPr>
        <w:tblStyle w:val="a"/>
        <w:tblW w:w="92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0"/>
        <w:gridCol w:w="1875"/>
        <w:gridCol w:w="5970"/>
      </w:tblGrid>
      <w:tr w:rsidR="00031725" w14:paraId="1D895195" w14:textId="77777777">
        <w:tc>
          <w:tcPr>
            <w:tcW w:w="1410" w:type="dxa"/>
            <w:tcBorders>
              <w:top w:val="single" w:sz="4" w:space="0" w:color="CCCCCC"/>
              <w:left w:val="single" w:sz="4" w:space="0" w:color="CCCCCC"/>
              <w:bottom w:val="single" w:sz="4" w:space="0" w:color="CCCCCC"/>
              <w:right w:val="single" w:sz="4" w:space="0" w:color="CCCCCC"/>
            </w:tcBorders>
            <w:shd w:val="clear" w:color="auto" w:fill="005B52"/>
            <w:tcMar>
              <w:top w:w="80" w:type="dxa"/>
              <w:left w:w="120" w:type="dxa"/>
              <w:bottom w:w="80" w:type="dxa"/>
              <w:right w:w="120" w:type="dxa"/>
            </w:tcMar>
          </w:tcPr>
          <w:p w14:paraId="00000056" w14:textId="77777777" w:rsidR="00031725" w:rsidRDefault="00000000">
            <w:pPr>
              <w:jc w:val="center"/>
            </w:pPr>
            <w:r>
              <w:rPr>
                <w:b/>
                <w:bCs/>
                <w:color w:val="FFFFFF"/>
                <w:sz w:val="20"/>
                <w:szCs w:val="20"/>
              </w:rPr>
              <w:t>Version</w:t>
            </w:r>
          </w:p>
        </w:tc>
        <w:tc>
          <w:tcPr>
            <w:tcW w:w="1875" w:type="dxa"/>
            <w:tcBorders>
              <w:top w:val="single" w:sz="4" w:space="0" w:color="CCCCCC"/>
              <w:left w:val="single" w:sz="4" w:space="0" w:color="CCCCCC"/>
              <w:bottom w:val="single" w:sz="4" w:space="0" w:color="CCCCCC"/>
              <w:right w:val="single" w:sz="4" w:space="0" w:color="CCCCCC"/>
            </w:tcBorders>
            <w:shd w:val="clear" w:color="auto" w:fill="005B52"/>
            <w:tcMar>
              <w:top w:w="80" w:type="dxa"/>
              <w:left w:w="120" w:type="dxa"/>
              <w:bottom w:w="80" w:type="dxa"/>
              <w:right w:w="120" w:type="dxa"/>
            </w:tcMar>
          </w:tcPr>
          <w:p w14:paraId="00000057" w14:textId="77777777" w:rsidR="00031725" w:rsidRDefault="00000000">
            <w:pPr>
              <w:jc w:val="center"/>
            </w:pPr>
            <w:r>
              <w:rPr>
                <w:b/>
                <w:bCs/>
                <w:color w:val="FFFFFF"/>
                <w:sz w:val="20"/>
                <w:szCs w:val="20"/>
              </w:rPr>
              <w:t>Date</w:t>
            </w:r>
          </w:p>
        </w:tc>
        <w:tc>
          <w:tcPr>
            <w:tcW w:w="5970" w:type="dxa"/>
            <w:tcBorders>
              <w:top w:val="single" w:sz="4" w:space="0" w:color="CCCCCC"/>
              <w:left w:val="single" w:sz="4" w:space="0" w:color="CCCCCC"/>
              <w:bottom w:val="single" w:sz="4" w:space="0" w:color="CCCCCC"/>
              <w:right w:val="single" w:sz="4" w:space="0" w:color="CCCCCC"/>
            </w:tcBorders>
            <w:shd w:val="clear" w:color="auto" w:fill="005B52"/>
            <w:tcMar>
              <w:top w:w="80" w:type="dxa"/>
              <w:left w:w="120" w:type="dxa"/>
              <w:bottom w:w="80" w:type="dxa"/>
              <w:right w:w="120" w:type="dxa"/>
            </w:tcMar>
          </w:tcPr>
          <w:p w14:paraId="00000058" w14:textId="77777777" w:rsidR="00031725" w:rsidRDefault="00000000">
            <w:pPr>
              <w:jc w:val="center"/>
            </w:pPr>
            <w:r>
              <w:rPr>
                <w:b/>
                <w:bCs/>
                <w:color w:val="FFFFFF"/>
                <w:sz w:val="20"/>
                <w:szCs w:val="20"/>
              </w:rPr>
              <w:t>Change Summary</w:t>
            </w:r>
          </w:p>
        </w:tc>
      </w:tr>
      <w:tr w:rsidR="00031725" w14:paraId="380B86BD" w14:textId="77777777">
        <w:tc>
          <w:tcPr>
            <w:tcW w:w="1410" w:type="dxa"/>
            <w:tcBorders>
              <w:top w:val="single" w:sz="4" w:space="0" w:color="CCCCCC"/>
              <w:left w:val="single" w:sz="4" w:space="0" w:color="CCCCCC"/>
              <w:bottom w:val="single" w:sz="4" w:space="0" w:color="CCCCCC"/>
              <w:right w:val="single" w:sz="4" w:space="0" w:color="CCCCCC"/>
            </w:tcBorders>
            <w:shd w:val="clear" w:color="auto" w:fill="EDF7F5"/>
            <w:tcMar>
              <w:top w:w="80" w:type="dxa"/>
              <w:left w:w="120" w:type="dxa"/>
              <w:bottom w:w="80" w:type="dxa"/>
              <w:right w:w="120" w:type="dxa"/>
            </w:tcMar>
          </w:tcPr>
          <w:p w14:paraId="00000059" w14:textId="77777777" w:rsidR="00031725" w:rsidRDefault="00000000">
            <w:pPr>
              <w:jc w:val="center"/>
            </w:pPr>
            <w:r>
              <w:rPr>
                <w:sz w:val="20"/>
                <w:szCs w:val="20"/>
              </w:rPr>
              <w:t>0.1</w:t>
            </w:r>
          </w:p>
        </w:tc>
        <w:tc>
          <w:tcPr>
            <w:tcW w:w="1875" w:type="dxa"/>
            <w:tcBorders>
              <w:top w:val="single" w:sz="4" w:space="0" w:color="CCCCCC"/>
              <w:left w:val="single" w:sz="4" w:space="0" w:color="CCCCCC"/>
              <w:bottom w:val="single" w:sz="4" w:space="0" w:color="CCCCCC"/>
              <w:right w:val="single" w:sz="4" w:space="0" w:color="CCCCCC"/>
            </w:tcBorders>
            <w:shd w:val="clear" w:color="auto" w:fill="EDF7F5"/>
            <w:tcMar>
              <w:top w:w="80" w:type="dxa"/>
              <w:left w:w="120" w:type="dxa"/>
              <w:bottom w:w="80" w:type="dxa"/>
              <w:right w:w="120" w:type="dxa"/>
            </w:tcMar>
          </w:tcPr>
          <w:p w14:paraId="0000005A" w14:textId="77777777" w:rsidR="00031725" w:rsidRDefault="00000000">
            <w:pPr>
              <w:jc w:val="center"/>
            </w:pPr>
            <w:r>
              <w:rPr>
                <w:sz w:val="20"/>
                <w:szCs w:val="20"/>
              </w:rPr>
              <w:t>June 2026</w:t>
            </w:r>
          </w:p>
        </w:tc>
        <w:tc>
          <w:tcPr>
            <w:tcW w:w="5970" w:type="dxa"/>
            <w:tcBorders>
              <w:top w:val="single" w:sz="4" w:space="0" w:color="CCCCCC"/>
              <w:left w:val="single" w:sz="4" w:space="0" w:color="CCCCCC"/>
              <w:bottom w:val="single" w:sz="4" w:space="0" w:color="CCCCCC"/>
              <w:right w:val="single" w:sz="4" w:space="0" w:color="CCCCCC"/>
            </w:tcBorders>
            <w:shd w:val="clear" w:color="auto" w:fill="EDF7F5"/>
            <w:tcMar>
              <w:top w:w="80" w:type="dxa"/>
              <w:left w:w="120" w:type="dxa"/>
              <w:bottom w:w="80" w:type="dxa"/>
              <w:right w:w="120" w:type="dxa"/>
            </w:tcMar>
          </w:tcPr>
          <w:p w14:paraId="0000005B" w14:textId="77777777" w:rsidR="00031725" w:rsidRDefault="00000000">
            <w:r>
              <w:rPr>
                <w:sz w:val="20"/>
                <w:szCs w:val="20"/>
              </w:rPr>
              <w:t>Initial draft for community review</w:t>
            </w:r>
          </w:p>
        </w:tc>
      </w:tr>
    </w:tbl>
    <w:p w14:paraId="0000005C" w14:textId="77777777" w:rsidR="00031725" w:rsidRDefault="00031725"/>
    <w:p w14:paraId="0000005D" w14:textId="77777777" w:rsidR="00031725" w:rsidRDefault="00000000">
      <w:pPr>
        <w:pStyle w:val="Heading2"/>
      </w:pPr>
      <w:r>
        <w:br w:type="page"/>
      </w:r>
    </w:p>
    <w:p w14:paraId="0000005E" w14:textId="77777777" w:rsidR="00031725" w:rsidRDefault="00000000">
      <w:pPr>
        <w:pStyle w:val="Heading1"/>
        <w:pBdr>
          <w:bottom w:val="single" w:sz="4" w:space="4" w:color="005B52"/>
        </w:pBdr>
      </w:pPr>
      <w:bookmarkStart w:id="1" w:name="_Toc233654377"/>
      <w:r>
        <w:lastRenderedPageBreak/>
        <w:t>1. Executive Summary</w:t>
      </w:r>
      <w:bookmarkEnd w:id="1"/>
    </w:p>
    <w:p w14:paraId="0000005F" w14:textId="77777777" w:rsidR="00031725" w:rsidRDefault="00000000">
      <w:r>
        <w:t>This Blueprint sets out a community-developed, technology-agnostic specification for the Data Director, a proposed agentic AI tool to support researchers in preparing, documenting and depositing research data for publication in alignment with the FAIR principles. It is the formal output of the Data Director Agentic AI Working Group, established through an RDA-Microsoft global community consultation on agentic AI in research, and represents version 0.1: a first draft for community review rather than a finished product.</w:t>
      </w:r>
    </w:p>
    <w:p w14:paraId="00000060" w14:textId="12BFB120" w:rsidR="00031725" w:rsidRDefault="00000000">
      <w:r>
        <w:t>The case for the Data Director rests on six interconnected gaps in current research data practice. Four core gaps, relating to limitations in researcher capacity, inconsistent metadata standards, uneven access to data support, and uncertainty navigating funder, journal and institutional policies, are directly addressed by the tool’s functional specification. Two further gaps, concerning the quality and provenance of data and metadata, and the governance of sensitive, ethically or culturally significant data</w:t>
      </w:r>
      <w:r w:rsidR="00E2719F">
        <w:t>,</w:t>
      </w:r>
      <w:r>
        <w:t xml:space="preserve"> including Indigenous data under the CARE principles, establish boundary conditions for the tool's behaviour. Two acknowledged gaps, around infrastructure sustainability and the recognition of data outputs in academic reward systems, fall outside the Data Director's scope but are documented for completeness.</w:t>
      </w:r>
    </w:p>
    <w:p w14:paraId="00000061" w14:textId="77777777" w:rsidR="00031725" w:rsidRDefault="00000000">
      <w:r>
        <w:t>This problem definition is translated into 14 architecture principles spanning FAIR and CARE alignment, openness, security, human oversight, traceability, interoperability, accessibility, sovereignty and environmental impact. These are operationalised through 12 functional requirements, covering repository recommendation, FAIR-aligned metadata generation, persistent identifier support, Data Management Plan verification, metadata remediation, provenance tracking, and discovery and linking, alongside 17 non-functional requirements defining the quality standards any implementation must meet. A six-phase process flow and vendor-agnostic reference architecture show how these come together in practice, from project planning through to monitoring and reuse of research data after publication.</w:t>
      </w:r>
    </w:p>
    <w:p w14:paraId="00000062" w14:textId="77777777" w:rsidR="00031725" w:rsidRDefault="00000000">
      <w:r>
        <w:t>With no reference implementation yet existing, the Blueprint sets out forward-looking evaluation criteria, implementation guidance for research institutions, national research infrastructures and commercial or non-profit vendors, and a governance model proposing the RDA as steward of the specification.</w:t>
      </w:r>
    </w:p>
    <w:p w14:paraId="00000063" w14:textId="77777777" w:rsidR="00031725" w:rsidRDefault="00000000">
      <w:r>
        <w:t xml:space="preserve">Finally, the Blueprint is transparent about what remains unresolved. Its open design questions and roadmap for future Blueprint iterations should be read not as gaps in the work, but rather as a sign that the eight-week consultation has surfaced genuine tensions and future considerations. The breadth of these questions reflects the depth of community engagement and offers a basis for ongoing discussion as the Blueprint is developed further. </w:t>
      </w:r>
    </w:p>
    <w:p w14:paraId="00000064" w14:textId="77777777" w:rsidR="00031725" w:rsidRDefault="00031725"/>
    <w:p w14:paraId="00000065" w14:textId="77777777" w:rsidR="00031725" w:rsidRDefault="00031725"/>
    <w:p w14:paraId="00000066" w14:textId="77777777" w:rsidR="00031725" w:rsidRDefault="00031725"/>
    <w:p w14:paraId="00000067" w14:textId="77777777" w:rsidR="00031725" w:rsidRDefault="00000000">
      <w:pPr>
        <w:pStyle w:val="Heading1"/>
        <w:pBdr>
          <w:bottom w:val="single" w:sz="4" w:space="4" w:color="005B52"/>
        </w:pBdr>
      </w:pPr>
      <w:bookmarkStart w:id="2" w:name="_Toc233654378"/>
      <w:r>
        <w:lastRenderedPageBreak/>
        <w:t>2. Introduction</w:t>
      </w:r>
      <w:bookmarkEnd w:id="2"/>
      <w:r>
        <w:t xml:space="preserve">  </w:t>
      </w:r>
    </w:p>
    <w:p w14:paraId="00000068" w14:textId="77777777" w:rsidR="00031725" w:rsidRDefault="00000000">
      <w:pPr>
        <w:pStyle w:val="Heading2"/>
      </w:pPr>
      <w:bookmarkStart w:id="3" w:name="_Toc233654379"/>
      <w:r>
        <w:t>2.1 About the Working Group</w:t>
      </w:r>
      <w:bookmarkEnd w:id="3"/>
      <w:r>
        <w:t xml:space="preserve"> </w:t>
      </w:r>
    </w:p>
    <w:p w14:paraId="00000069" w14:textId="77777777" w:rsidR="00031725" w:rsidRDefault="00000000">
      <w:r>
        <w:t xml:space="preserve">The Data Director Blueprint has been produced by the </w:t>
      </w:r>
      <w:hyperlink r:id="rId11">
        <w:r w:rsidR="00031725">
          <w:rPr>
            <w:color w:val="1155CC"/>
            <w:u w:val="single"/>
          </w:rPr>
          <w:t>Data Director Agentic AI Working Group</w:t>
        </w:r>
      </w:hyperlink>
      <w:r>
        <w:t>,</w:t>
      </w:r>
      <w:r>
        <w:rPr>
          <w:vertAlign w:val="superscript"/>
        </w:rPr>
        <w:footnoteReference w:id="2"/>
      </w:r>
      <w:r>
        <w:t xml:space="preserve"> established following </w:t>
      </w:r>
      <w:hyperlink r:id="rId12">
        <w:r w:rsidR="00031725">
          <w:rPr>
            <w:color w:val="1155CC"/>
            <w:u w:val="single"/>
          </w:rPr>
          <w:t>a global community consultation on agentic AI in research</w:t>
        </w:r>
      </w:hyperlink>
      <w:r>
        <w:rPr>
          <w:vertAlign w:val="superscript"/>
        </w:rPr>
        <w:footnoteReference w:id="3"/>
      </w:r>
      <w:r>
        <w:t xml:space="preserve"> conducted by the </w:t>
      </w:r>
      <w:hyperlink r:id="rId13">
        <w:r w:rsidR="00031725">
          <w:rPr>
            <w:color w:val="1155CC"/>
            <w:u w:val="single"/>
          </w:rPr>
          <w:t>Research Data Alliance (RDA)</w:t>
        </w:r>
      </w:hyperlink>
      <w:r>
        <w:rPr>
          <w:vertAlign w:val="superscript"/>
        </w:rPr>
        <w:footnoteReference w:id="4"/>
      </w:r>
      <w:r>
        <w:t xml:space="preserve"> in collaboration with </w:t>
      </w:r>
      <w:hyperlink r:id="rId14">
        <w:r w:rsidR="00031725">
          <w:rPr>
            <w:color w:val="1155CC"/>
            <w:u w:val="single"/>
          </w:rPr>
          <w:t>Microsoft</w:t>
        </w:r>
      </w:hyperlink>
      <w:r>
        <w:rPr>
          <w:vertAlign w:val="superscript"/>
        </w:rPr>
        <w:footnoteReference w:id="5"/>
      </w:r>
      <w:r>
        <w:t xml:space="preserve"> in November 2025. That consultation built on prior engagement Microsoft undertook with around 50 research institutions across the UK, which had identified data preparation and FAIR-aligned data sharing as a significant and widely felt pain point across the research lifecycle. The consultation explored current use of agentic AI by researchers and sought perspectives on its value across the research lifecycle, with agentic AI defined as '</w:t>
      </w:r>
      <w:r>
        <w:rPr>
          <w:i/>
          <w:iCs/>
        </w:rPr>
        <w:t>artificial intelligence systems capable of autonomous operation with human oversight</w:t>
      </w:r>
      <w:r>
        <w:t>'.</w:t>
      </w:r>
    </w:p>
    <w:p w14:paraId="0000006A" w14:textId="77777777" w:rsidR="00031725" w:rsidRDefault="00000000">
      <w:pPr>
        <w:spacing w:before="240" w:after="240"/>
      </w:pPr>
      <w:r>
        <w:t xml:space="preserve">Three tools emerged as clear community priorities: the Literature Librarian, the Data Director, and the Funding Finder. Of these, the </w:t>
      </w:r>
      <w:r>
        <w:rPr>
          <w:b/>
          <w:bCs/>
        </w:rPr>
        <w:t>Data Director</w:t>
      </w:r>
      <w:r>
        <w:t xml:space="preserve">, designed to support research data preparation and sharing in alignment with the </w:t>
      </w:r>
      <w:hyperlink r:id="rId15">
        <w:r w:rsidR="00031725">
          <w:rPr>
            <w:color w:val="1155CC"/>
            <w:u w:val="single"/>
          </w:rPr>
          <w:t>FAIR principles</w:t>
        </w:r>
      </w:hyperlink>
      <w:r>
        <w:t>,</w:t>
      </w:r>
      <w:r>
        <w:rPr>
          <w:vertAlign w:val="superscript"/>
        </w:rPr>
        <w:footnoteReference w:id="6"/>
      </w:r>
      <w:r>
        <w:t xml:space="preserve"> was identified as the tool most closely aligned with the RDA's mission, vision, and </w:t>
      </w:r>
      <w:hyperlink r:id="rId16">
        <w:r w:rsidR="00031725">
          <w:rPr>
            <w:color w:val="1155CC"/>
            <w:u w:val="single"/>
          </w:rPr>
          <w:t>guiding principles</w:t>
        </w:r>
      </w:hyperlink>
      <w:r>
        <w:t>,</w:t>
      </w:r>
      <w:r>
        <w:rPr>
          <w:vertAlign w:val="superscript"/>
        </w:rPr>
        <w:footnoteReference w:id="7"/>
      </w:r>
      <w:r>
        <w:t xml:space="preserve"> placing data sharing, interoperability, and FAIR-aligned data management practices at its core. It was therefore selected as the focus for this Blueprint.</w:t>
      </w:r>
    </w:p>
    <w:p w14:paraId="0000006B" w14:textId="77777777" w:rsidR="00031725" w:rsidRDefault="00000000">
      <w:pPr>
        <w:spacing w:before="240" w:after="240"/>
      </w:pPr>
      <w:r>
        <w:t xml:space="preserve">The Working Group operated over eight weeks through a community-driven process comprising two facilitated sessions per week, covering global time zones and open to all. The facilitation was supported by Microsoft within the framework of the </w:t>
      </w:r>
      <w:hyperlink r:id="rId17">
        <w:r w:rsidR="00031725">
          <w:rPr>
            <w:color w:val="1155CC"/>
            <w:u w:val="single"/>
          </w:rPr>
          <w:t>RDA public-private partnerships</w:t>
        </w:r>
      </w:hyperlink>
      <w:r>
        <w:t>.</w:t>
      </w:r>
      <w:r>
        <w:rPr>
          <w:vertAlign w:val="superscript"/>
        </w:rPr>
        <w:footnoteReference w:id="8"/>
      </w:r>
    </w:p>
    <w:p w14:paraId="0000006C" w14:textId="77777777" w:rsidR="00031725" w:rsidRDefault="00000000">
      <w:pPr>
        <w:pStyle w:val="Heading2"/>
        <w:spacing w:before="240" w:after="240"/>
      </w:pPr>
      <w:bookmarkStart w:id="4" w:name="_Toc233654380"/>
      <w:r>
        <w:t>2.2 Purpose and Scope</w:t>
      </w:r>
      <w:bookmarkEnd w:id="4"/>
    </w:p>
    <w:p w14:paraId="4D266B85" w14:textId="77777777" w:rsidR="00E2719F" w:rsidRDefault="00000000" w:rsidP="00E2719F">
      <w:r>
        <w:t xml:space="preserve">This Blueprint is a written functional and non-functional specification that defines what a Data Director agentic AI tool should do and how it should work. The development of any deployable implementation or prototype solution is out of scope for this phase of work and may be explored by the community in future. The Blueprint constitutes the Working Group's formal output under the </w:t>
      </w:r>
      <w:hyperlink r:id="rId18">
        <w:r w:rsidR="00E2719F">
          <w:rPr>
            <w:color w:val="1155CC"/>
            <w:u w:val="single"/>
          </w:rPr>
          <w:t>RDA Recommendations and Outputs process</w:t>
        </w:r>
      </w:hyperlink>
      <w:r>
        <w:t>.</w:t>
      </w:r>
      <w:r>
        <w:rPr>
          <w:vertAlign w:val="superscript"/>
        </w:rPr>
        <w:footnoteReference w:id="9"/>
      </w:r>
    </w:p>
    <w:p w14:paraId="7455E64C" w14:textId="77777777" w:rsidR="00E2719F" w:rsidRDefault="00E2719F" w:rsidP="00E2719F"/>
    <w:p w14:paraId="6C3EDE39" w14:textId="77777777" w:rsidR="00E2719F" w:rsidRDefault="00E2719F" w:rsidP="00E2719F"/>
    <w:p w14:paraId="0000006E" w14:textId="1E70E646" w:rsidR="00031725" w:rsidRDefault="00000000" w:rsidP="00E2719F">
      <w:r>
        <w:lastRenderedPageBreak/>
        <w:t>The Blueprint covers the following areas:</w:t>
      </w:r>
    </w:p>
    <w:p w14:paraId="0000006F" w14:textId="77777777" w:rsidR="00031725" w:rsidRDefault="00000000">
      <w:pPr>
        <w:numPr>
          <w:ilvl w:val="0"/>
          <w:numId w:val="12"/>
        </w:numPr>
        <w:spacing w:before="240" w:after="0"/>
      </w:pPr>
      <w:r>
        <w:t>The background and context for research data publication in alignment with the FAIR principles</w:t>
      </w:r>
    </w:p>
    <w:p w14:paraId="00000070" w14:textId="77777777" w:rsidR="00031725" w:rsidRDefault="00000000">
      <w:pPr>
        <w:numPr>
          <w:ilvl w:val="0"/>
          <w:numId w:val="12"/>
        </w:numPr>
        <w:spacing w:after="0"/>
      </w:pPr>
      <w:r>
        <w:t xml:space="preserve">The problem definition and case for a Data Director agentic AI tool </w:t>
      </w:r>
    </w:p>
    <w:p w14:paraId="00000071" w14:textId="77777777" w:rsidR="00031725" w:rsidRDefault="00000000">
      <w:pPr>
        <w:numPr>
          <w:ilvl w:val="0"/>
          <w:numId w:val="12"/>
        </w:numPr>
        <w:spacing w:after="0"/>
      </w:pPr>
      <w:r>
        <w:t>The architectural and design principles that should govern the tool</w:t>
      </w:r>
    </w:p>
    <w:p w14:paraId="00000072" w14:textId="270E6B10" w:rsidR="00031725" w:rsidRDefault="00000000">
      <w:pPr>
        <w:numPr>
          <w:ilvl w:val="0"/>
          <w:numId w:val="12"/>
        </w:numPr>
        <w:spacing w:after="0"/>
      </w:pPr>
      <w:r>
        <w:t xml:space="preserve">A full functional specification, including a process flow and </w:t>
      </w:r>
      <w:r w:rsidR="003255B7">
        <w:t xml:space="preserve">a </w:t>
      </w:r>
      <w:r>
        <w:t>high-level reference architecture diagram</w:t>
      </w:r>
    </w:p>
    <w:p w14:paraId="00000073" w14:textId="77777777" w:rsidR="00031725" w:rsidRDefault="00000000">
      <w:pPr>
        <w:numPr>
          <w:ilvl w:val="0"/>
          <w:numId w:val="12"/>
        </w:numPr>
        <w:spacing w:after="0"/>
      </w:pPr>
      <w:r>
        <w:t>Evaluation criteria and implementation guidance</w:t>
      </w:r>
    </w:p>
    <w:p w14:paraId="00000074" w14:textId="77777777" w:rsidR="00031725" w:rsidRDefault="00000000">
      <w:pPr>
        <w:numPr>
          <w:ilvl w:val="0"/>
          <w:numId w:val="12"/>
        </w:numPr>
        <w:spacing w:after="240"/>
      </w:pPr>
      <w:r>
        <w:t>Blueprint governance and open questions</w:t>
      </w:r>
    </w:p>
    <w:p w14:paraId="00000075" w14:textId="77777777" w:rsidR="00031725" w:rsidRDefault="00000000">
      <w:r>
        <w:t>The Blueprint is intended to be sufficiently detailed for a range of diverse implementers: research institutions, national research infrastructures, and commercial or non-profit vendors, to use as the basis for implementation. Existing tools and platforms may overlap with some capabilities described here. The Blueprint does not seek to replace or endorse any specific solution, but to provide a common, community-agreed specification against which tools can be developed or evaluated.</w:t>
      </w:r>
    </w:p>
    <w:p w14:paraId="00000076" w14:textId="77777777" w:rsidR="00031725" w:rsidRDefault="00000000">
      <w:pPr>
        <w:pStyle w:val="Heading2"/>
        <w:spacing w:before="240" w:after="240"/>
      </w:pPr>
      <w:bookmarkStart w:id="5" w:name="_Toc233654381"/>
      <w:r>
        <w:t>2.3 What is an Open, Technology-Agnostic Blueprint?</w:t>
      </w:r>
      <w:bookmarkEnd w:id="5"/>
      <w:r>
        <w:t xml:space="preserve"> </w:t>
      </w:r>
    </w:p>
    <w:p w14:paraId="00000077" w14:textId="77777777" w:rsidR="00031725" w:rsidRDefault="00000000">
      <w:pPr>
        <w:spacing w:before="60" w:after="60"/>
        <w:rPr>
          <w:color w:val="1C1C1C"/>
        </w:rPr>
      </w:pPr>
      <w:r>
        <w:rPr>
          <w:color w:val="1C1C1C"/>
        </w:rPr>
        <w:t>This Blueprint is a community-developed, openly governed specification, not a product or piece of software. It is designed to be implemented by any organisation regardless of their technology stack, and is defined by three principles:</w:t>
      </w:r>
    </w:p>
    <w:p w14:paraId="00000078" w14:textId="77777777" w:rsidR="00031725" w:rsidRDefault="00000000">
      <w:pPr>
        <w:numPr>
          <w:ilvl w:val="0"/>
          <w:numId w:val="18"/>
        </w:numPr>
        <w:spacing w:before="240" w:after="0"/>
        <w:rPr>
          <w:color w:val="1C1C1C"/>
        </w:rPr>
      </w:pPr>
      <w:r>
        <w:rPr>
          <w:b/>
          <w:bCs/>
          <w:color w:val="1C1C1C"/>
        </w:rPr>
        <w:t>Open:</w:t>
      </w:r>
      <w:r>
        <w:rPr>
          <w:color w:val="1C1C1C"/>
        </w:rPr>
        <w:t xml:space="preserve"> Freely accessible, transparently developed, and community-governed in line with RDA's Guiding Principles and general principles of open science.</w:t>
      </w:r>
    </w:p>
    <w:p w14:paraId="00000079" w14:textId="77777777" w:rsidR="00031725" w:rsidRDefault="00000000">
      <w:pPr>
        <w:numPr>
          <w:ilvl w:val="0"/>
          <w:numId w:val="18"/>
        </w:numPr>
        <w:spacing w:after="0"/>
        <w:rPr>
          <w:color w:val="1C1C1C"/>
        </w:rPr>
      </w:pPr>
      <w:r>
        <w:rPr>
          <w:b/>
          <w:bCs/>
          <w:color w:val="1C1C1C"/>
        </w:rPr>
        <w:t>Technology-agnostic:</w:t>
      </w:r>
      <w:r>
        <w:rPr>
          <w:color w:val="1C1C1C"/>
        </w:rPr>
        <w:t xml:space="preserve"> Defines what the tool should do and how it should behave, without prescribing which AI model, cloud provider, infrastructure, or data repository to use.</w:t>
      </w:r>
    </w:p>
    <w:p w14:paraId="0000007A" w14:textId="77777777" w:rsidR="00031725" w:rsidRDefault="00000000">
      <w:pPr>
        <w:numPr>
          <w:ilvl w:val="0"/>
          <w:numId w:val="18"/>
        </w:numPr>
        <w:spacing w:after="240"/>
        <w:rPr>
          <w:color w:val="1C1C1C"/>
        </w:rPr>
      </w:pPr>
      <w:r>
        <w:rPr>
          <w:b/>
          <w:bCs/>
          <w:color w:val="1C1C1C"/>
        </w:rPr>
        <w:t>Living and versioned:</w:t>
      </w:r>
      <w:r>
        <w:rPr>
          <w:color w:val="1C1C1C"/>
        </w:rPr>
        <w:t xml:space="preserve"> A specification designed to evolve through community review as needs, AI capabilities, and the broader research infrastructure landscape evolve. Version 0.1 represents the first community-endorsed draft.</w:t>
      </w:r>
    </w:p>
    <w:p w14:paraId="0000007B" w14:textId="77777777" w:rsidR="00031725" w:rsidRDefault="00000000">
      <w:pPr>
        <w:pStyle w:val="Heading2"/>
        <w:spacing w:before="240" w:after="240"/>
      </w:pPr>
      <w:bookmarkStart w:id="6" w:name="_Toc233654382"/>
      <w:r>
        <w:t>2.4 The Data Director: Tool Definition</w:t>
      </w:r>
      <w:bookmarkEnd w:id="6"/>
      <w:r>
        <w:t xml:space="preserve"> </w:t>
      </w:r>
    </w:p>
    <w:p w14:paraId="0000007C" w14:textId="77777777" w:rsidR="00031725" w:rsidRDefault="00000000">
      <w:r>
        <w:t>The Data Director is a proposed, technology-agnostic, human-supervised agentic AI tool that supports research data documentation, publication, sharing, and reuse. It does so by helping researchers create ethically and scientifically responsible metadata and data documentation, identify appropriate repositories, metadata standards and persistent identifier options, and meet relevant funder, institutional, disciplinary, and governance requirements.</w:t>
      </w:r>
    </w:p>
    <w:p w14:paraId="0000007D" w14:textId="7AB0FCDD" w:rsidR="00031725" w:rsidRDefault="00000000">
      <w:r>
        <w:t xml:space="preserve">As described in Section 2.1, the Data Director was identified as a community priority through the RDA-Microsoft global consultation and selected as the focus for this Blueprint </w:t>
      </w:r>
      <w:r w:rsidR="003255B7">
        <w:t>based on</w:t>
      </w:r>
      <w:r>
        <w:t xml:space="preserve"> its close alignment with the RDA's mission and guiding principles.</w:t>
      </w:r>
    </w:p>
    <w:p w14:paraId="0000007E" w14:textId="77777777" w:rsidR="00031725" w:rsidRDefault="00000000">
      <w:r>
        <w:lastRenderedPageBreak/>
        <w:t>Community engagement identified three core capabilities as the starting point for the tool, listed here in the order in which they arise across the data publication workflow:</w:t>
      </w:r>
    </w:p>
    <w:p w14:paraId="0000007F" w14:textId="77777777" w:rsidR="00031725" w:rsidRDefault="00000000">
      <w:pPr>
        <w:numPr>
          <w:ilvl w:val="0"/>
          <w:numId w:val="1"/>
        </w:numPr>
        <w:spacing w:after="0"/>
      </w:pPr>
      <w:r>
        <w:t>Recommending appropriate data repositories in line with funder, journal and institutional requirements</w:t>
      </w:r>
    </w:p>
    <w:p w14:paraId="00000080" w14:textId="77777777" w:rsidR="00031725" w:rsidRDefault="00000000">
      <w:pPr>
        <w:numPr>
          <w:ilvl w:val="0"/>
          <w:numId w:val="1"/>
        </w:numPr>
        <w:spacing w:after="0"/>
      </w:pPr>
      <w:r>
        <w:t>Automatically suggesting metadata in alignment with the FAIR principles</w:t>
      </w:r>
    </w:p>
    <w:p w14:paraId="00000081" w14:textId="77777777" w:rsidR="00031725" w:rsidRDefault="00000000">
      <w:pPr>
        <w:numPr>
          <w:ilvl w:val="0"/>
          <w:numId w:val="1"/>
        </w:numPr>
        <w:spacing w:after="0"/>
      </w:pPr>
      <w:r>
        <w:rPr>
          <w:color w:val="1C1C1C"/>
        </w:rPr>
        <w:t>Supporting the assignment of persistent identifiers (PIDs) for datasets</w:t>
      </w:r>
    </w:p>
    <w:p w14:paraId="00000082" w14:textId="77777777" w:rsidR="00031725" w:rsidRDefault="00031725">
      <w:pPr>
        <w:spacing w:after="0"/>
      </w:pPr>
    </w:p>
    <w:p w14:paraId="00000083" w14:textId="77777777" w:rsidR="00031725" w:rsidRDefault="00000000">
      <w:r>
        <w:t xml:space="preserve">These capabilities represent the community-validated foundation from which the Working Group's programme of work began. The Working Group developed them into the detailed functional specification set out in this Blueprint, expanding beyond the initial three capabilities to encompass a broader range of uses, functional requirements, and goals identified through the programme. </w:t>
      </w:r>
    </w:p>
    <w:p w14:paraId="00000084" w14:textId="77777777" w:rsidR="00031725" w:rsidRDefault="00000000">
      <w:pPr>
        <w:pStyle w:val="Heading2"/>
      </w:pPr>
      <w:bookmarkStart w:id="7" w:name="_Toc233654383"/>
      <w:r>
        <w:t>2.5 Intended Users</w:t>
      </w:r>
      <w:bookmarkEnd w:id="7"/>
    </w:p>
    <w:p w14:paraId="00000085" w14:textId="77777777" w:rsidR="00031725" w:rsidRDefault="00000000">
      <w:r>
        <w:t xml:space="preserve">The Data Director is designed primarily for researchers, from early-career researchers to principal investigators, who need to prepare and share their data in alignment with the FAIR principles across the research lifecycle, but may lack the time, training, or institutional support to do so. </w:t>
      </w:r>
    </w:p>
    <w:p w14:paraId="00000086" w14:textId="77777777" w:rsidR="00031725" w:rsidRDefault="00000000">
      <w:r>
        <w:t xml:space="preserve">Data support professionals are a secondary but important user group, both as direct users of the tool and as those who may configure, deploy, or provide support for it on behalf of their institution. </w:t>
      </w:r>
    </w:p>
    <w:p w14:paraId="00000087" w14:textId="77777777" w:rsidR="00031725" w:rsidRDefault="00000000">
      <w:r>
        <w:t>While institutions, journals, and funding organisations are not direct users of the tool, they are key stakeholders whose requirements, particularly around data repository selection and policy requirements, shape what the tool recommends.</w:t>
      </w:r>
    </w:p>
    <w:p w14:paraId="00000088" w14:textId="77777777" w:rsidR="00031725" w:rsidRDefault="00000000">
      <w:pPr>
        <w:pStyle w:val="Heading1"/>
        <w:pBdr>
          <w:bottom w:val="single" w:sz="4" w:space="4" w:color="005B52"/>
        </w:pBdr>
      </w:pPr>
      <w:bookmarkStart w:id="8" w:name="_Toc233654384"/>
      <w:r>
        <w:t>3. Problem Definition</w:t>
      </w:r>
      <w:bookmarkEnd w:id="8"/>
    </w:p>
    <w:p w14:paraId="00000089" w14:textId="77777777" w:rsidR="00031725" w:rsidRDefault="00000000">
      <w:pPr>
        <w:pStyle w:val="Heading2"/>
      </w:pPr>
      <w:bookmarkStart w:id="9" w:name="_Toc233654385"/>
      <w:r>
        <w:t>3.1 The Research Data Challenge</w:t>
      </w:r>
      <w:bookmarkEnd w:id="9"/>
      <w:r>
        <w:t xml:space="preserve"> </w:t>
      </w:r>
    </w:p>
    <w:p w14:paraId="0000008A" w14:textId="6AE66C1A" w:rsidR="00031725" w:rsidRDefault="00000000">
      <w:r>
        <w:t xml:space="preserve">The research community faces significant barriers to making data outputs FAIR (Findable, Accessible, Interoperable and Reusable). The following challenges were identified through the global community consultation on agentic AI in research conducted by the RDA and Microsoft in </w:t>
      </w:r>
      <w:r w:rsidR="00E2719F">
        <w:t>November 2025 and</w:t>
      </w:r>
      <w:r>
        <w:t xml:space="preserve"> further developed and prioritised during the Blueprint programme.</w:t>
      </w:r>
    </w:p>
    <w:p w14:paraId="0000008B" w14:textId="77777777" w:rsidR="00031725" w:rsidRDefault="00000000">
      <w:r>
        <w:t xml:space="preserve">Each is framed as a </w:t>
      </w:r>
      <w:r>
        <w:rPr>
          <w:b/>
          <w:bCs/>
        </w:rPr>
        <w:t>gap</w:t>
      </w:r>
      <w:r>
        <w:t>, a defined deficit between current practice and what is needed to share data effectively, providing a structured basis for the solutions and recommendations that follow. These gaps are wide-ranging and deeply embedded in research culture, infrastructure, and incentive structures. The Blueprint does not claim to address them in full; rather, it responds to the most common and pressing challenges identified by the community, providing a foundation that implementers can build on. The gaps are presented here to set the scene and establish the context for the Data Director's design, not to imply that a single tool can resolve them entirely. The gaps are presented here in order of community priority.</w:t>
      </w:r>
    </w:p>
    <w:p w14:paraId="0000008E" w14:textId="77777777" w:rsidR="00031725" w:rsidRDefault="00000000">
      <w:pPr>
        <w:pStyle w:val="Heading3"/>
      </w:pPr>
      <w:bookmarkStart w:id="10" w:name="_Toc233654386"/>
      <w:r>
        <w:lastRenderedPageBreak/>
        <w:t>3.1.1 Core Gaps: Directly addressed by the Data Director</w:t>
      </w:r>
      <w:bookmarkEnd w:id="10"/>
    </w:p>
    <w:p w14:paraId="0000008F" w14:textId="77777777" w:rsidR="00031725" w:rsidRDefault="00000000">
      <w:pPr>
        <w:rPr>
          <w:b/>
          <w:bCs/>
        </w:rPr>
      </w:pPr>
      <w:r>
        <w:rPr>
          <w:b/>
          <w:bCs/>
        </w:rPr>
        <w:t>Capacity Gap: Researchers lack the time and expertise to manage data responsibly across the research lifecycle</w:t>
      </w:r>
    </w:p>
    <w:p w14:paraId="00000090" w14:textId="77777777" w:rsidR="00031725" w:rsidRDefault="00000000">
      <w:r>
        <w:t>A central challenge is that researchers lack both the training and the incentive to produce high-quality metadata. Throughout this Blueprint, metadata is understood in its full scope, encompassing not only discovery fields but variable definitions, data structure, provenance, quality assessments, access conditions, and applicable governance constraints. Metadata creation is not typically part of academic training or curricula, meaning many researchers do not know what good metadata looks like, how to produce it, or why it matters. They are not rewarded for investing time in it, and where a dataset is produced by a cross-disciplinary or cross-institutional team, priorities around metadata quality are not always shared. The result is that researchers tend to fulfil only the minimum requirements, with the burden of support falling on libraries and institutions. This reflects a deeper cultural issue: research data management is not yet treated as a core research responsibility, but as an administrative obligation to be minimised.</w:t>
      </w:r>
    </w:p>
    <w:p w14:paraId="00000091" w14:textId="77777777" w:rsidR="00031725" w:rsidRDefault="00000000">
      <w:r>
        <w:t>This challenge spans the full research lifecycle, not only the point of data publication. Decisions made early in a project, such as file formats, storage, and documentation practice, have significant consequences for whether data can ultimately be shared and reused, yet researchers are often unaware of these dependencies until problems arise. This is becoming more acute as AI systems are increasingly used to process research data, making metadata precision a prerequisite not only for discoverability but for scientific replicability and accountability.</w:t>
      </w:r>
    </w:p>
    <w:p w14:paraId="00000092" w14:textId="77777777" w:rsidR="00031725" w:rsidRDefault="00000000">
      <w:r>
        <w:t>A related challenge is that many researchers are not familiar with community-recognised repositories, standards registries, or vocabulary services, and lack a reliable basis for evaluating the trustworthiness of the resources they do encounter. Data Management Plans (DMPs) illustrate the broader problem well: researchers struggle to navigate competing institutional, funder, and collaborator requirements, to balance open science with research security and data protection, and to keep DMPs current as projects evolve.</w:t>
      </w:r>
    </w:p>
    <w:p w14:paraId="00000093" w14:textId="77777777" w:rsidR="00031725" w:rsidRDefault="00000000">
      <w:pPr>
        <w:rPr>
          <w:b/>
          <w:bCs/>
        </w:rPr>
      </w:pPr>
      <w:r>
        <w:rPr>
          <w:b/>
          <w:bCs/>
        </w:rPr>
        <w:t>Standards Gap: Inconsistency in metadata standards creates significant barriers to data sharing and reuse</w:t>
      </w:r>
    </w:p>
    <w:p w14:paraId="00000094" w14:textId="77777777" w:rsidR="00031725" w:rsidRDefault="00000000">
      <w:r>
        <w:t>There is no universally agreed interpretation of the FAIR principles, though the principles themselves provide a broadly accepted direction of travel that this Blueprint adopts as its orienting framework. What constitutes a complete metadata record varies significantly between communities and data repository types. This variability is compounded by the growth of interdisciplinary research, which requires researchers to navigate multiple, sometimes conflicting, standards frameworks simultaneously. The difficulty of gaining a reliable overview of the standards relevant to any given discipline compounds this further.</w:t>
      </w:r>
    </w:p>
    <w:p w14:paraId="00000095" w14:textId="77777777" w:rsidR="00031725" w:rsidRDefault="00000000">
      <w:r>
        <w:t xml:space="preserve">Where standard vocabularies or ontologies do not exist, these challenges deepen further. The harmonisation of heterogeneous metadata schemas, the conversion between them, and the consistent definition of variables, frequently overlooked but fundamental to interoperability, </w:t>
      </w:r>
      <w:r>
        <w:lastRenderedPageBreak/>
        <w:t>remain largely unresolved and under-supported. Efforts to achieve standardisation have historically struggled, as community-specific needs often sit in tension with universal solutions.</w:t>
      </w:r>
    </w:p>
    <w:p w14:paraId="00000096" w14:textId="77777777" w:rsidR="00031725" w:rsidRDefault="00000000">
      <w:pPr>
        <w:rPr>
          <w:b/>
          <w:bCs/>
        </w:rPr>
      </w:pPr>
      <w:r>
        <w:t>These inconsistencies affect data discovery, making it difficult to locate relevant data outside one's own discipline, and carry equity implications: the costs of meeting evolving standards may disadvantage smaller repositories, risking the loss of important community resources.</w:t>
      </w:r>
    </w:p>
    <w:p w14:paraId="00000097" w14:textId="77777777" w:rsidR="00031725" w:rsidRDefault="00000000">
      <w:pPr>
        <w:rPr>
          <w:b/>
          <w:bCs/>
        </w:rPr>
      </w:pPr>
      <w:r>
        <w:rPr>
          <w:b/>
          <w:bCs/>
        </w:rPr>
        <w:t>Support Gap: Researchers lack access to skilled human support</w:t>
      </w:r>
    </w:p>
    <w:p w14:paraId="00000098" w14:textId="77777777" w:rsidR="00031725" w:rsidRDefault="00000000">
      <w:r>
        <w:t>Access to professional data support, such as data stewards or librarians, is unequally distributed across the research community. While smaller institutions are most visibly affected, the challenge is broader: large, devolved organisations face similar problems due to asymmetrical provision across faculties and disciplines. Even where support staff exist, they typically offer general guidance rather than hands-on assistance with tasks such as metadata creation. Access to timely support is a further constraint. Researchers frequently need help at short notice, and availability cannot be assumed.</w:t>
      </w:r>
    </w:p>
    <w:p w14:paraId="00000099" w14:textId="77777777" w:rsidR="00031725" w:rsidRDefault="00000000">
      <w:r>
        <w:t>Many researchers are unaware that support services exist at all, even at well-resourced institutions. Where support is available, it tends to concentrate around the point of data publication, with limited sustained curation effort afterwards, particularly as new standards emerge that may affect already-published datasets. A significant volume of research data has already been published without FAIR-aligned metadata, and the remediation of this existing material represents an important but largely unmet need.</w:t>
      </w:r>
    </w:p>
    <w:p w14:paraId="0000009A" w14:textId="77777777" w:rsidR="00031725" w:rsidRDefault="00000000">
      <w:pPr>
        <w:rPr>
          <w:b/>
          <w:bCs/>
        </w:rPr>
      </w:pPr>
      <w:r>
        <w:rPr>
          <w:b/>
          <w:bCs/>
        </w:rPr>
        <w:t>Policy Gap: Researchers face uncertainty navigating divergent and sometimes conflicting data policies</w:t>
      </w:r>
    </w:p>
    <w:p w14:paraId="0000009B" w14:textId="77777777" w:rsidR="00031725" w:rsidRDefault="00000000">
      <w:r>
        <w:t>The challenge here is broader than data repository selection alone. Researchers often lack clarity about what they are expected or required to do when publishing research data, and must navigate institutional, funder, and journal requirements that do not always align. Inconsistency in policy communication is as much an issue as policy conflict itself. Where institutions provide clear direction, the problem is significantly reduced.</w:t>
      </w:r>
    </w:p>
    <w:p w14:paraId="0000009C" w14:textId="579FA0A2" w:rsidR="00031725" w:rsidRDefault="00000000">
      <w:r>
        <w:t xml:space="preserve">Data repository selection is one practical manifestation of this challenge. The repository landscape is fragmented, leaving researchers without reliable criteria to guide their choices and forcing many to rely on general search engines as a starting point. Despite longstanding community efforts, consensus on what constitutes a good data repository has not been reached. The cost of data storage adds further complexity, as funding constraints can limit available options regardless of policy requirements. Journals also play a role here: many journals mandate that research data underpinning a journal article publication must be deposited in a specific repository or meet particular standards. These journal data policies must be considered alongside funder and institutional requirements when selecting a repository for data </w:t>
      </w:r>
      <w:r w:rsidR="005D30C9">
        <w:t>publication and</w:t>
      </w:r>
      <w:r>
        <w:t xml:space="preserve"> can introduce additional or conflicting constraints.</w:t>
      </w:r>
    </w:p>
    <w:p w14:paraId="0000009D" w14:textId="77777777" w:rsidR="00031725" w:rsidRDefault="00000000">
      <w:r>
        <w:t>The gap is best understood as one of comprehension: researchers struggle to understand the full range of requirements they are expected to meet, rather than facing simply a question of which data repository to use.</w:t>
      </w:r>
    </w:p>
    <w:p w14:paraId="0000009E" w14:textId="77777777" w:rsidR="00031725" w:rsidRDefault="00000000">
      <w:pPr>
        <w:pStyle w:val="Heading3"/>
      </w:pPr>
      <w:bookmarkStart w:id="11" w:name="_Toc233654387"/>
      <w:r>
        <w:lastRenderedPageBreak/>
        <w:t>3.1.2 Boundary Conditions: Gaps that shape how the Data Director should behave</w:t>
      </w:r>
      <w:bookmarkEnd w:id="11"/>
    </w:p>
    <w:p w14:paraId="0000009F" w14:textId="77777777" w:rsidR="00031725" w:rsidRDefault="00000000">
      <w:pPr>
        <w:rPr>
          <w:b/>
          <w:bCs/>
        </w:rPr>
      </w:pPr>
      <w:r>
        <w:rPr>
          <w:b/>
          <w:bCs/>
        </w:rPr>
        <w:t>Quality and Provenance Gap: Researchers and tools must be able to demonstrate the trustworthiness and traceability of data and metadata</w:t>
      </w:r>
    </w:p>
    <w:p w14:paraId="000000A0" w14:textId="77777777" w:rsidR="00031725" w:rsidRDefault="00000000">
      <w:r>
        <w:t>A core challenge is provenance: the need to know where a result comes from, how it was produced, and whether it can be trusted as the basis for new work. This concern is growing in urgency as increasing volumes of data and metadata are AI-generated, making traceability more critical and more difficult simultaneously. Any output from an agentic AI tool must include basic provenance information: the sources used, the model involved, the processing date, and a persistent identifier, as well as a record of whether human curation has taken place.</w:t>
      </w:r>
    </w:p>
    <w:p w14:paraId="000000A1" w14:textId="77777777" w:rsidR="00031725" w:rsidRDefault="00000000">
      <w:r>
        <w:t>Closely related is the challenge of quality: both the quality of metadata, assessed against community standards and canonical semantics (a standard, universal representation of meaning and structure across datasets), and the quality of the data itself, which should be reflected as an explicit field within the metadata record. These two challenges are deeply interconnected: poor provenance undermines quality assessment, and poor quality metadata makes provenance harder to establish.</w:t>
      </w:r>
    </w:p>
    <w:p w14:paraId="000000A2" w14:textId="77777777" w:rsidR="00031725" w:rsidRDefault="00000000">
      <w:r>
        <w:t>Provenance is already a core component of the FAIR principles, meaning tools that support FAIR-aligned metadata creation should produce appropriate provenance records as a matter of course. As AI plays a greater role in research data workflows, robust and standardised approaches to recording provenance and assessing quality become a fundamental requirement for research integrity.</w:t>
      </w:r>
    </w:p>
    <w:p w14:paraId="000000A3" w14:textId="77777777" w:rsidR="00031725" w:rsidRDefault="00000000">
      <w:pPr>
        <w:rPr>
          <w:b/>
          <w:bCs/>
        </w:rPr>
      </w:pPr>
      <w:r>
        <w:rPr>
          <w:b/>
          <w:bCs/>
        </w:rPr>
        <w:t>Governance Gap: Researcher uncertainty about how to prepare data for sharing under ethical, legal, cultural or proprietary constraints</w:t>
      </w:r>
    </w:p>
    <w:p w14:paraId="000000A4" w14:textId="77777777" w:rsidR="00031725" w:rsidRDefault="00000000">
      <w:r>
        <w:t>A significant challenge is researcher uncertainty about how to prepare data for sharing where ethical, legal, cultural, or commercial constraints apply. This uncertainty extends to data privacy, affecting not only researchers but data support professionals themselves. At its core, the gap reflects a lack of clarity about what is required and permissible when handling sensitive data, particularly around consent, confidentiality, and reuse. Cross-national research compounds this further, requiring researchers to navigate differing and sometimes conflicting requirements around data protection, rights holder obligations, and permitted reuse across jurisdictions.</w:t>
      </w:r>
    </w:p>
    <w:p w14:paraId="000000A5" w14:textId="77777777" w:rsidR="00031725" w:rsidRDefault="00000000">
      <w:r>
        <w:t xml:space="preserve">The </w:t>
      </w:r>
      <w:hyperlink r:id="rId19">
        <w:r w:rsidR="00031725">
          <w:rPr>
            <w:color w:val="1155CC"/>
            <w:u w:val="single"/>
          </w:rPr>
          <w:t>CARE principles for Indigenous data</w:t>
        </w:r>
      </w:hyperlink>
      <w:r>
        <w:rPr>
          <w:vertAlign w:val="superscript"/>
        </w:rPr>
        <w:footnoteReference w:id="10"/>
      </w:r>
      <w:r>
        <w:t xml:space="preserve"> represent a specific and important dimension of this gap. Questions have been raised about whether agentic AI is compatible with CARE principles at all, and how alignment between the two might be achieved. Meaningful engagement with the CARE principles requires direct engagement with relevant Indigenous and community stakeholders and may involve interaction with external systems such as </w:t>
      </w:r>
      <w:hyperlink r:id="rId20">
        <w:r w:rsidR="00031725">
          <w:rPr>
            <w:color w:val="1155CC"/>
            <w:u w:val="single"/>
          </w:rPr>
          <w:t xml:space="preserve">Local </w:t>
        </w:r>
        <w:r w:rsidR="00031725">
          <w:rPr>
            <w:color w:val="1155CC"/>
            <w:u w:val="single"/>
          </w:rPr>
          <w:lastRenderedPageBreak/>
          <w:t>Contexts</w:t>
        </w:r>
      </w:hyperlink>
      <w:r>
        <w:t>.</w:t>
      </w:r>
      <w:r>
        <w:rPr>
          <w:vertAlign w:val="superscript"/>
        </w:rPr>
        <w:footnoteReference w:id="11"/>
      </w:r>
      <w:r>
        <w:t xml:space="preserve"> This remains a complex but important area for consideration in the development of any tool operating in this space.</w:t>
      </w:r>
    </w:p>
    <w:p w14:paraId="000000A6" w14:textId="77777777" w:rsidR="00031725" w:rsidRDefault="00000000">
      <w:r>
        <w:t>Research data governance considerations are best addressed at the data management planning stage. However, the degree to which an AI tool can support governance decisions in a meaningful and trustworthy way is limited, particularly for edge cases that are difficult even for experienced human practitioners, and human oversight remains essential.</w:t>
      </w:r>
    </w:p>
    <w:p w14:paraId="000000A7" w14:textId="77777777" w:rsidR="00031725" w:rsidRDefault="00000000">
      <w:pPr>
        <w:pStyle w:val="Heading3"/>
      </w:pPr>
      <w:bookmarkStart w:id="12" w:name="_Toc233654388"/>
      <w:r>
        <w:t>3.1.3 Acknowledged Gaps: Not directly addressed by the Data Director</w:t>
      </w:r>
      <w:bookmarkEnd w:id="12"/>
    </w:p>
    <w:p w14:paraId="000000A8" w14:textId="77777777" w:rsidR="00031725" w:rsidRDefault="00000000">
      <w:pPr>
        <w:rPr>
          <w:b/>
          <w:bCs/>
        </w:rPr>
      </w:pPr>
      <w:r>
        <w:rPr>
          <w:b/>
          <w:bCs/>
        </w:rPr>
        <w:t>Sustainability Gap: Difficulty funding and sustaining research data infrastructure at institutional scale</w:t>
      </w:r>
    </w:p>
    <w:p w14:paraId="000000A9" w14:textId="77777777" w:rsidR="00031725" w:rsidRDefault="00000000">
      <w:r>
        <w:t>While the Data Director supports PID assignment as part of its core functionality, the broader challenge of funding and sustaining PID infrastructure at institutional scale falls outside its scope. In practice, the cost burden varies considerably; some repositories integrate PID assignment directly at no additional cost, and the significance of this as a barrier differs across institutions and contexts.</w:t>
      </w:r>
    </w:p>
    <w:p w14:paraId="000000AA" w14:textId="77777777" w:rsidR="00031725" w:rsidRDefault="00000000">
      <w:r>
        <w:t>More pressing are the wider infrastructure challenges faced particularly by smaller institutions, where limited technical knowledge and restricted access to IT specialists make it difficult to automate even basic research data management processes. The longer-term sustainability of repositories hosting research data, including appropriate recognition and credit for those services, is also a concern that falls beyond what the Data Director can address.</w:t>
      </w:r>
    </w:p>
    <w:p w14:paraId="000000AB" w14:textId="77777777" w:rsidR="00031725" w:rsidRDefault="00000000">
      <w:r>
        <w:t>There is a risk that intensive delegation to the agentic AI tools, such as the Data Director, could create dependency and hinder the development of in-house data management capacity over time. This is an important consideration for institutions deploying the tool.</w:t>
      </w:r>
    </w:p>
    <w:p w14:paraId="000000AC" w14:textId="77777777" w:rsidR="00031725" w:rsidRDefault="00000000">
      <w:pPr>
        <w:rPr>
          <w:b/>
          <w:bCs/>
        </w:rPr>
      </w:pPr>
      <w:r>
        <w:rPr>
          <w:b/>
          <w:bCs/>
        </w:rPr>
        <w:t>Recognition Gap: Academic reward systems do not adequately recognise data outputs or data management efforts</w:t>
      </w:r>
    </w:p>
    <w:p w14:paraId="000000AE" w14:textId="4563819D" w:rsidR="00031725" w:rsidRDefault="00000000">
      <w:r>
        <w:t>Academic reward systems are weighted towards journal article publications, leaving research data management and sharing largely unrecognised. The immaturity of data citation metrics makes it difficult to demonstrate the impact of data sharing, creating a structural disincentive to investing in good research data management practice. While this gap cannot be addressed through tooling alone, reducing the effort required to share data well and providing researchers with metrics on how their data is being reused can lower barriers and offer a degree of recognition within the current system.</w:t>
      </w:r>
    </w:p>
    <w:p w14:paraId="4E870F46" w14:textId="77777777" w:rsidR="005D30C9" w:rsidRDefault="005D30C9"/>
    <w:p w14:paraId="7B290440" w14:textId="77777777" w:rsidR="005D30C9" w:rsidRDefault="005D30C9"/>
    <w:tbl>
      <w:tblPr>
        <w:tblStyle w:val="a0"/>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031725" w14:paraId="5AB9DD88" w14:textId="77777777">
        <w:tc>
          <w:tcPr>
            <w:tcW w:w="9360" w:type="dxa"/>
            <w:tcBorders>
              <w:top w:val="nil"/>
              <w:left w:val="single" w:sz="16" w:space="0" w:color="007A6E"/>
              <w:bottom w:val="nil"/>
              <w:right w:val="nil"/>
            </w:tcBorders>
            <w:shd w:val="clear" w:color="auto" w:fill="EDF7F5"/>
            <w:tcMar>
              <w:top w:w="100" w:type="dxa"/>
              <w:left w:w="180" w:type="dxa"/>
              <w:bottom w:w="100" w:type="dxa"/>
              <w:right w:w="180" w:type="dxa"/>
            </w:tcMar>
          </w:tcPr>
          <w:p w14:paraId="000000AF" w14:textId="0C4D9FB5" w:rsidR="00031725" w:rsidRDefault="00000000">
            <w:pPr>
              <w:spacing w:after="0" w:line="240" w:lineRule="auto"/>
            </w:pPr>
            <w:r>
              <w:lastRenderedPageBreak/>
              <w:t xml:space="preserve">The </w:t>
            </w:r>
            <w:r>
              <w:rPr>
                <w:b/>
                <w:bCs/>
              </w:rPr>
              <w:t>Sustainability</w:t>
            </w:r>
            <w:r>
              <w:t xml:space="preserve"> and </w:t>
            </w:r>
            <w:r>
              <w:rPr>
                <w:b/>
                <w:bCs/>
              </w:rPr>
              <w:t>Recognition</w:t>
            </w:r>
            <w:r>
              <w:t xml:space="preserve"> Gaps are documented here to provide a complete picture of the research data landscape. They fall outside the scope of the Data Director in its current </w:t>
            </w:r>
            <w:r w:rsidR="005D30C9">
              <w:t>form but</w:t>
            </w:r>
            <w:r>
              <w:t xml:space="preserve"> may be considered in future iterations or addressed by other tools and systems in development.</w:t>
            </w:r>
          </w:p>
          <w:p w14:paraId="000000B0" w14:textId="77777777" w:rsidR="00031725" w:rsidRDefault="00031725">
            <w:pPr>
              <w:spacing w:after="0" w:line="240" w:lineRule="auto"/>
            </w:pPr>
          </w:p>
          <w:p w14:paraId="000000B1" w14:textId="77777777" w:rsidR="00031725" w:rsidRDefault="00000000">
            <w:pPr>
              <w:spacing w:after="0" w:line="240" w:lineRule="auto"/>
            </w:pPr>
            <w:r>
              <w:t xml:space="preserve">The four core gaps: </w:t>
            </w:r>
            <w:r>
              <w:rPr>
                <w:b/>
                <w:bCs/>
              </w:rPr>
              <w:t>Capacity</w:t>
            </w:r>
            <w:r>
              <w:t xml:space="preserve">, </w:t>
            </w:r>
            <w:r>
              <w:rPr>
                <w:b/>
                <w:bCs/>
              </w:rPr>
              <w:t>Standards</w:t>
            </w:r>
            <w:r>
              <w:t xml:space="preserve">, </w:t>
            </w:r>
            <w:r>
              <w:rPr>
                <w:b/>
                <w:bCs/>
              </w:rPr>
              <w:t>Support</w:t>
            </w:r>
            <w:r>
              <w:t xml:space="preserve">, and </w:t>
            </w:r>
            <w:r>
              <w:rPr>
                <w:b/>
                <w:bCs/>
              </w:rPr>
              <w:t>Policy</w:t>
            </w:r>
            <w:r>
              <w:t xml:space="preserve">, define the primary research data challenges the Data Director is designed to address. The </w:t>
            </w:r>
            <w:r>
              <w:rPr>
                <w:b/>
                <w:bCs/>
              </w:rPr>
              <w:t>Quality and Provenance</w:t>
            </w:r>
            <w:r>
              <w:t xml:space="preserve"> and </w:t>
            </w:r>
            <w:r>
              <w:rPr>
                <w:b/>
                <w:bCs/>
              </w:rPr>
              <w:t>Governance Gaps</w:t>
            </w:r>
            <w:r>
              <w:t xml:space="preserve"> establish the boundary conditions that shape how the tool should behave. Together, these six gaps provide the evidence base for the functional specification that follows. </w:t>
            </w:r>
          </w:p>
        </w:tc>
      </w:tr>
    </w:tbl>
    <w:p w14:paraId="000000B2" w14:textId="77777777" w:rsidR="00031725" w:rsidRDefault="00000000">
      <w:pPr>
        <w:pStyle w:val="Heading2"/>
      </w:pPr>
      <w:bookmarkStart w:id="13" w:name="_Toc233654389"/>
      <w:r>
        <w:t>3.2 Vision and Goals</w:t>
      </w:r>
      <w:bookmarkEnd w:id="13"/>
    </w:p>
    <w:p w14:paraId="000000B3" w14:textId="77777777" w:rsidR="00031725" w:rsidRDefault="00000000">
      <w:r>
        <w:t>The Data Director will support any researcher, regardless of institution, discipline, or level of data expertise, and the data support professionals who assist them, to prepare and deposit research data for publication in alignment with the FAIR principles, narrowing the gap between those with access to skilled data support and those without.</w:t>
      </w:r>
    </w:p>
    <w:p w14:paraId="000000B4" w14:textId="77777777" w:rsidR="00031725" w:rsidRDefault="00000000">
      <w:r>
        <w:t>The following goals represent the primary starting point for the Data Director in this iteration. They are not exhaustive; further goals and capabilities are identified throughout the Blueprint and in the roadmap for future iterations in Section 13.2.</w:t>
      </w:r>
    </w:p>
    <w:p w14:paraId="000000B5" w14:textId="77777777" w:rsidR="00031725" w:rsidRDefault="00000000">
      <w:pPr>
        <w:numPr>
          <w:ilvl w:val="0"/>
          <w:numId w:val="29"/>
        </w:numPr>
        <w:rPr>
          <w:b/>
          <w:bCs/>
        </w:rPr>
      </w:pPr>
      <w:r>
        <w:rPr>
          <w:b/>
          <w:bCs/>
        </w:rPr>
        <w:t>Simplify data repository selection</w:t>
      </w:r>
    </w:p>
    <w:p w14:paraId="000000B6" w14:textId="77777777" w:rsidR="00031725" w:rsidRDefault="00000000">
      <w:r>
        <w:t>The Data Director will recommend appropriate data repositories based on funder, journal, and institutional requirements, so that researchers can make well-informed deposit decisions with confidence, regardless of their familiarity with the policy landscape.</w:t>
      </w:r>
    </w:p>
    <w:p w14:paraId="000000B7" w14:textId="77777777" w:rsidR="00031725" w:rsidRDefault="00000000">
      <w:pPr>
        <w:numPr>
          <w:ilvl w:val="0"/>
          <w:numId w:val="29"/>
        </w:numPr>
        <w:rPr>
          <w:b/>
          <w:bCs/>
        </w:rPr>
      </w:pPr>
      <w:r>
        <w:rPr>
          <w:b/>
          <w:bCs/>
        </w:rPr>
        <w:t>Reduce the burden of research data documentation and metadata creation</w:t>
      </w:r>
    </w:p>
    <w:p w14:paraId="000000B8" w14:textId="77777777" w:rsidR="00031725" w:rsidRDefault="00000000">
      <w:r>
        <w:t>The Data Director will enable researchers to select the most appropriate community and domain-relevant standards and schemas for their data, and automatically suggest metadata and supporting documentation, including data dictionaries and README files, so that researchers can produce FAIR-aligned records without relying on specialist data support.</w:t>
      </w:r>
    </w:p>
    <w:p w14:paraId="000000B9" w14:textId="77777777" w:rsidR="00031725" w:rsidRDefault="00000000">
      <w:pPr>
        <w:numPr>
          <w:ilvl w:val="0"/>
          <w:numId w:val="29"/>
        </w:numPr>
        <w:rPr>
          <w:b/>
          <w:bCs/>
        </w:rPr>
      </w:pPr>
      <w:r>
        <w:rPr>
          <w:b/>
          <w:bCs/>
        </w:rPr>
        <w:t>Support the assignment of persistent identifiers (PIDs) for datasets</w:t>
      </w:r>
    </w:p>
    <w:p w14:paraId="000000BA" w14:textId="77777777" w:rsidR="00031725" w:rsidRDefault="00000000">
      <w:r>
        <w:t>The Data Director will support the assignment of persistent identifiers (PIDs) for research datasets, so that data outputs are citable, discoverable, and persistently accessible regardless of the researcher's institutional resources.</w:t>
      </w:r>
    </w:p>
    <w:p w14:paraId="000000BB" w14:textId="77777777" w:rsidR="00031725" w:rsidRDefault="00000000">
      <w:pPr>
        <w:numPr>
          <w:ilvl w:val="0"/>
          <w:numId w:val="29"/>
        </w:numPr>
        <w:rPr>
          <w:b/>
          <w:bCs/>
        </w:rPr>
      </w:pPr>
      <w:r>
        <w:rPr>
          <w:b/>
          <w:bCs/>
        </w:rPr>
        <w:t>Connect datasets to the broader research landscape</w:t>
      </w:r>
    </w:p>
    <w:p w14:paraId="000000BC" w14:textId="77777777" w:rsidR="00031725" w:rsidRDefault="00000000">
      <w:r>
        <w:t>The Data Director will link datasets to related research outputs, including journal article publications, grants, software, and people, so that research data is discoverable in context and its contribution to the wider research record is visible.</w:t>
      </w:r>
    </w:p>
    <w:p w14:paraId="000000BD" w14:textId="77777777" w:rsidR="00031725" w:rsidRDefault="00031725"/>
    <w:p w14:paraId="000000BE" w14:textId="77777777" w:rsidR="00031725" w:rsidRDefault="00031725"/>
    <w:p w14:paraId="000000BF" w14:textId="77777777" w:rsidR="00031725" w:rsidRDefault="00000000">
      <w:pPr>
        <w:pStyle w:val="Heading2"/>
      </w:pPr>
      <w:bookmarkStart w:id="14" w:name="_Toc233654390"/>
      <w:r>
        <w:lastRenderedPageBreak/>
        <w:t>3.3 Out of Scope</w:t>
      </w:r>
      <w:bookmarkEnd w:id="14"/>
    </w:p>
    <w:p w14:paraId="000000C0" w14:textId="77777777" w:rsidR="00031725" w:rsidRDefault="00000000">
      <w:r>
        <w:t xml:space="preserve">While the Data Director addresses several key challenges researchers face when depositing research data for publication, this Blueprint iteration has defined boundaries. </w:t>
      </w:r>
    </w:p>
    <w:p w14:paraId="000000C1" w14:textId="77777777" w:rsidR="00031725" w:rsidRDefault="00000000">
      <w:r>
        <w:t xml:space="preserve">The Data Director </w:t>
      </w:r>
      <w:r>
        <w:rPr>
          <w:u w:val="single"/>
        </w:rPr>
        <w:t>does not</w:t>
      </w:r>
      <w:r>
        <w:t>:</w:t>
      </w:r>
    </w:p>
    <w:p w14:paraId="000000C2" w14:textId="77777777" w:rsidR="00031725" w:rsidRDefault="00000000">
      <w:pPr>
        <w:numPr>
          <w:ilvl w:val="0"/>
          <w:numId w:val="40"/>
        </w:numPr>
        <w:spacing w:after="0"/>
      </w:pPr>
      <w:r>
        <w:t>Support comprehensive data management across the full research data lifecycle; it is designed to support research data publication only.</w:t>
      </w:r>
    </w:p>
    <w:p w14:paraId="000000C3" w14:textId="77777777" w:rsidR="00031725" w:rsidRDefault="00000000">
      <w:pPr>
        <w:numPr>
          <w:ilvl w:val="0"/>
          <w:numId w:val="40"/>
        </w:numPr>
        <w:spacing w:after="0"/>
      </w:pPr>
      <w:r>
        <w:t>Replace human expertise, substitute for specialist research data management professionals, or assess the scientific validity or methodological soundness of research data.</w:t>
      </w:r>
    </w:p>
    <w:p w14:paraId="000000C4" w14:textId="77777777" w:rsidR="00031725" w:rsidRDefault="00000000">
      <w:pPr>
        <w:numPr>
          <w:ilvl w:val="0"/>
          <w:numId w:val="40"/>
        </w:numPr>
        <w:spacing w:after="0"/>
      </w:pPr>
      <w:r>
        <w:t>Take irreversible actions, including depositing research data for publication, without explicit human approval.</w:t>
      </w:r>
    </w:p>
    <w:p w14:paraId="000000C5" w14:textId="77777777" w:rsidR="00031725" w:rsidRDefault="00000000">
      <w:pPr>
        <w:numPr>
          <w:ilvl w:val="0"/>
          <w:numId w:val="40"/>
        </w:numPr>
        <w:spacing w:after="0"/>
      </w:pPr>
      <w:r>
        <w:t>Advise on how to meet legal, ethical, or governance requirements; it may flag relevant requirements, but researchers and institutions remain responsible for decisions that depend on local context and specialist knowledge. Note that the governance requirements shaping how the Data Director itself is designed and deployed are a separate matter, addressed in Section 5.</w:t>
      </w:r>
    </w:p>
    <w:p w14:paraId="000000C6" w14:textId="77777777" w:rsidR="00031725" w:rsidRDefault="00000000">
      <w:pPr>
        <w:numPr>
          <w:ilvl w:val="0"/>
          <w:numId w:val="40"/>
        </w:numPr>
      </w:pPr>
      <w:r>
        <w:t>Store, preserve, or provide repository infrastructure; it supports the preparation and submission of data for deposit but does not retain data itself.</w:t>
      </w:r>
    </w:p>
    <w:p w14:paraId="000000C7" w14:textId="77777777" w:rsidR="00031725" w:rsidRDefault="00000000">
      <w:r>
        <w:t>The full boundary between what is included in this iteration and what may be reserved for future development is set out in the uses table in Section 4.1.</w:t>
      </w:r>
    </w:p>
    <w:p w14:paraId="000000C8" w14:textId="77777777" w:rsidR="00031725" w:rsidRDefault="00000000">
      <w:pPr>
        <w:pStyle w:val="Heading1"/>
        <w:pBdr>
          <w:bottom w:val="single" w:sz="4" w:space="4" w:color="005B52"/>
        </w:pBdr>
      </w:pPr>
      <w:bookmarkStart w:id="15" w:name="_Toc233654391"/>
      <w:r>
        <w:t>4. Research Context</w:t>
      </w:r>
      <w:bookmarkEnd w:id="15"/>
    </w:p>
    <w:p w14:paraId="000000C9" w14:textId="77777777" w:rsidR="00031725" w:rsidRDefault="00000000">
      <w:pPr>
        <w:pStyle w:val="Heading2"/>
      </w:pPr>
      <w:bookmarkStart w:id="16" w:name="_Toc233654392"/>
      <w:r>
        <w:t>4.1 Uses, Users and Expected Outcomes</w:t>
      </w:r>
      <w:bookmarkEnd w:id="16"/>
      <w:r>
        <w:t xml:space="preserve"> </w:t>
      </w:r>
    </w:p>
    <w:p w14:paraId="000000CA" w14:textId="77777777" w:rsidR="00031725" w:rsidRDefault="00000000">
      <w:r>
        <w:t>This section sets out the range of uses the Data Director is designed to support, the users it serves, and the expected outcomes of each use. The primary outcome is to deliver the vision set out in Section 3.2: enabling any researcher to prepare and deposit research data for publication in alignment with the FAIR principles, regardless of their expertise or institutional support.</w:t>
      </w:r>
    </w:p>
    <w:p w14:paraId="000000CB" w14:textId="77777777" w:rsidR="00031725" w:rsidRDefault="00000000">
      <w:r>
        <w:t xml:space="preserve">A </w:t>
      </w:r>
      <w:r>
        <w:rPr>
          <w:b/>
          <w:bCs/>
        </w:rPr>
        <w:t>use</w:t>
      </w:r>
      <w:r>
        <w:t xml:space="preserve"> describes a specific situation in which a real user interacts with the tool to solve a real problem. Each use answers: who is doing what, why, and what happens as a result. The Working Group identified a range of uses for how the Data Director could support researchers and data professionals. Each has been assigned one of two statuses (Table 1): </w:t>
      </w:r>
    </w:p>
    <w:p w14:paraId="000000CC" w14:textId="77777777" w:rsidR="00031725" w:rsidRDefault="00000000">
      <w:r>
        <w:rPr>
          <w:b/>
          <w:bCs/>
        </w:rPr>
        <w:t>Confirmed</w:t>
      </w:r>
      <w:r>
        <w:t xml:space="preserve"> (</w:t>
      </w:r>
      <w:r>
        <w:rPr>
          <w:b/>
          <w:bCs/>
          <w:color w:val="375623"/>
          <w:shd w:val="clear" w:color="auto" w:fill="D9EAD3"/>
        </w:rPr>
        <w:t>green</w:t>
      </w:r>
      <w:r>
        <w:t>): in scope for this iteration of the Data Director. Confirmed uses are directly supported by a functional requirement in Section 7.1.</w:t>
      </w:r>
    </w:p>
    <w:p w14:paraId="000000CD" w14:textId="7C05D227" w:rsidR="00031725" w:rsidRDefault="00000000">
      <w:r>
        <w:rPr>
          <w:b/>
          <w:bCs/>
        </w:rPr>
        <w:t>Future Consideration</w:t>
      </w:r>
      <w:r>
        <w:t xml:space="preserve"> (</w:t>
      </w:r>
      <w:r>
        <w:rPr>
          <w:b/>
          <w:bCs/>
          <w:color w:val="7F6000"/>
          <w:shd w:val="clear" w:color="auto" w:fill="FFF2CC"/>
        </w:rPr>
        <w:t>yellow</w:t>
      </w:r>
      <w:r>
        <w:t xml:space="preserve">): addressing important gaps and challenges identified by the community, but beyond the scope of the current programme. These uses represent a ‘community wish list’ for future iterations of the Data Director. They are documented here to inform ongoing </w:t>
      </w:r>
      <w:r w:rsidR="005D30C9">
        <w:t>development;</w:t>
      </w:r>
      <w:r>
        <w:t xml:space="preserve"> to signal the direction the community would like to see the tool </w:t>
      </w:r>
      <w:r>
        <w:lastRenderedPageBreak/>
        <w:t>evolve, and to provide a foundation for future Blueprint versions or related agentic AI tools in development.</w:t>
      </w:r>
    </w:p>
    <w:p w14:paraId="000000CE" w14:textId="77777777" w:rsidR="00031725" w:rsidRDefault="00000000">
      <w:r>
        <w:t>The volume of future considerations reflects the richness of community input rather than a lack of ambition. Given the eight-week timeframe of the Blueprint programme, not all identified uses could be fully discussed, specified, or progressed to a point where they could be confirmed for this iteration. All future considerations are nonetheless valued contributions and are strongly encouraged for follow-up in future iterations of the Data Director or through related community-led initiatives.</w:t>
      </w:r>
    </w:p>
    <w:p w14:paraId="000000CF" w14:textId="77777777" w:rsidR="00031725" w:rsidRDefault="00000000">
      <w:pPr>
        <w:rPr>
          <w:sz w:val="18"/>
          <w:szCs w:val="18"/>
        </w:rPr>
      </w:pPr>
      <w:r>
        <w:rPr>
          <w:b/>
          <w:bCs/>
          <w:sz w:val="18"/>
          <w:szCs w:val="18"/>
        </w:rPr>
        <w:t>Table 1</w:t>
      </w:r>
      <w:r>
        <w:rPr>
          <w:sz w:val="18"/>
          <w:szCs w:val="18"/>
        </w:rPr>
        <w:t xml:space="preserve">. Uses, users and expected outcomes of the Data Director, showing confirmed uses for this iteration and community-identified future considerations. </w:t>
      </w:r>
    </w:p>
    <w:tbl>
      <w:tblPr>
        <w:tblStyle w:val="a1"/>
        <w:tblW w:w="90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85"/>
        <w:gridCol w:w="1410"/>
        <w:gridCol w:w="2325"/>
        <w:gridCol w:w="1410"/>
        <w:gridCol w:w="1485"/>
      </w:tblGrid>
      <w:tr w:rsidR="00031725" w14:paraId="27748B4A" w14:textId="77777777">
        <w:trPr>
          <w:trHeight w:val="1425"/>
        </w:trPr>
        <w:tc>
          <w:tcPr>
            <w:tcW w:w="2385" w:type="dxa"/>
            <w:tcBorders>
              <w:top w:val="single" w:sz="5" w:space="0" w:color="005B52"/>
              <w:left w:val="single" w:sz="5" w:space="0" w:color="005B52"/>
              <w:bottom w:val="single" w:sz="5" w:space="0" w:color="005B52"/>
              <w:right w:val="single" w:sz="5" w:space="0" w:color="005B52"/>
            </w:tcBorders>
            <w:shd w:val="clear" w:color="auto" w:fill="005B52"/>
            <w:tcMar>
              <w:top w:w="80" w:type="dxa"/>
              <w:left w:w="120" w:type="dxa"/>
              <w:bottom w:w="80" w:type="dxa"/>
              <w:right w:w="120" w:type="dxa"/>
            </w:tcMar>
          </w:tcPr>
          <w:p w14:paraId="000000D0" w14:textId="77777777" w:rsidR="00031725" w:rsidRDefault="00000000">
            <w:pPr>
              <w:spacing w:before="40" w:after="20"/>
              <w:jc w:val="center"/>
              <w:rPr>
                <w:b/>
                <w:bCs/>
                <w:color w:val="FFFFFF"/>
                <w:sz w:val="18"/>
                <w:szCs w:val="18"/>
              </w:rPr>
            </w:pPr>
            <w:r>
              <w:rPr>
                <w:b/>
                <w:bCs/>
                <w:color w:val="FFFFFF"/>
                <w:sz w:val="18"/>
                <w:szCs w:val="18"/>
              </w:rPr>
              <w:t>Use</w:t>
            </w:r>
          </w:p>
          <w:p w14:paraId="000000D1" w14:textId="77777777" w:rsidR="00031725" w:rsidRDefault="00000000">
            <w:pPr>
              <w:spacing w:before="40" w:after="40"/>
              <w:jc w:val="center"/>
              <w:rPr>
                <w:i/>
                <w:iCs/>
                <w:color w:val="FFFFFF"/>
                <w:sz w:val="16"/>
                <w:szCs w:val="16"/>
              </w:rPr>
            </w:pPr>
            <w:r>
              <w:rPr>
                <w:i/>
                <w:iCs/>
                <w:color w:val="FFFFFF"/>
                <w:sz w:val="16"/>
                <w:szCs w:val="16"/>
              </w:rPr>
              <w:t>A specific interaction between user and tool</w:t>
            </w:r>
          </w:p>
        </w:tc>
        <w:tc>
          <w:tcPr>
            <w:tcW w:w="1410" w:type="dxa"/>
            <w:tcBorders>
              <w:top w:val="single" w:sz="5" w:space="0" w:color="005B52"/>
              <w:left w:val="nil"/>
              <w:bottom w:val="single" w:sz="5" w:space="0" w:color="005B52"/>
              <w:right w:val="single" w:sz="5" w:space="0" w:color="005B52"/>
            </w:tcBorders>
            <w:shd w:val="clear" w:color="auto" w:fill="005B52"/>
            <w:tcMar>
              <w:top w:w="80" w:type="dxa"/>
              <w:left w:w="120" w:type="dxa"/>
              <w:bottom w:w="80" w:type="dxa"/>
              <w:right w:w="120" w:type="dxa"/>
            </w:tcMar>
          </w:tcPr>
          <w:p w14:paraId="000000D2" w14:textId="77777777" w:rsidR="00031725" w:rsidRDefault="00000000">
            <w:pPr>
              <w:spacing w:before="40" w:after="20"/>
              <w:jc w:val="center"/>
              <w:rPr>
                <w:b/>
                <w:bCs/>
                <w:color w:val="FFFFFF"/>
                <w:sz w:val="18"/>
                <w:szCs w:val="18"/>
              </w:rPr>
            </w:pPr>
            <w:r>
              <w:rPr>
                <w:b/>
                <w:bCs/>
                <w:color w:val="FFFFFF"/>
                <w:sz w:val="18"/>
                <w:szCs w:val="18"/>
              </w:rPr>
              <w:t>User(s)</w:t>
            </w:r>
          </w:p>
          <w:p w14:paraId="000000D3" w14:textId="77777777" w:rsidR="00031725" w:rsidRDefault="00000000">
            <w:pPr>
              <w:spacing w:before="40" w:after="40"/>
              <w:jc w:val="center"/>
              <w:rPr>
                <w:i/>
                <w:iCs/>
                <w:color w:val="FFFFFF"/>
                <w:sz w:val="16"/>
                <w:szCs w:val="16"/>
              </w:rPr>
            </w:pPr>
            <w:r>
              <w:rPr>
                <w:i/>
                <w:iCs/>
                <w:color w:val="FFFFFF"/>
                <w:sz w:val="16"/>
                <w:szCs w:val="16"/>
              </w:rPr>
              <w:t>Who initiates or benefits from this use</w:t>
            </w:r>
          </w:p>
        </w:tc>
        <w:tc>
          <w:tcPr>
            <w:tcW w:w="2325" w:type="dxa"/>
            <w:tcBorders>
              <w:top w:val="single" w:sz="5" w:space="0" w:color="005B52"/>
              <w:left w:val="nil"/>
              <w:bottom w:val="single" w:sz="5" w:space="0" w:color="005B52"/>
              <w:right w:val="single" w:sz="5" w:space="0" w:color="005B52"/>
            </w:tcBorders>
            <w:shd w:val="clear" w:color="auto" w:fill="005B52"/>
            <w:tcMar>
              <w:top w:w="80" w:type="dxa"/>
              <w:left w:w="120" w:type="dxa"/>
              <w:bottom w:w="80" w:type="dxa"/>
              <w:right w:w="120" w:type="dxa"/>
            </w:tcMar>
          </w:tcPr>
          <w:p w14:paraId="000000D4" w14:textId="77777777" w:rsidR="00031725" w:rsidRDefault="00000000">
            <w:pPr>
              <w:spacing w:before="40" w:after="20"/>
              <w:jc w:val="center"/>
              <w:rPr>
                <w:b/>
                <w:bCs/>
                <w:color w:val="FFFFFF"/>
                <w:sz w:val="18"/>
                <w:szCs w:val="18"/>
              </w:rPr>
            </w:pPr>
            <w:r>
              <w:rPr>
                <w:b/>
                <w:bCs/>
                <w:color w:val="FFFFFF"/>
                <w:sz w:val="18"/>
                <w:szCs w:val="18"/>
              </w:rPr>
              <w:t>Expected Outcome</w:t>
            </w:r>
          </w:p>
          <w:p w14:paraId="000000D5" w14:textId="77777777" w:rsidR="00031725" w:rsidRDefault="00000000">
            <w:pPr>
              <w:spacing w:before="40" w:after="40"/>
              <w:jc w:val="center"/>
              <w:rPr>
                <w:i/>
                <w:iCs/>
                <w:color w:val="FFFFFF"/>
                <w:sz w:val="16"/>
                <w:szCs w:val="16"/>
              </w:rPr>
            </w:pPr>
            <w:r>
              <w:rPr>
                <w:i/>
                <w:iCs/>
                <w:color w:val="FFFFFF"/>
                <w:sz w:val="16"/>
                <w:szCs w:val="16"/>
              </w:rPr>
              <w:t>What the tool produces or enables</w:t>
            </w:r>
          </w:p>
        </w:tc>
        <w:tc>
          <w:tcPr>
            <w:tcW w:w="1410" w:type="dxa"/>
            <w:tcBorders>
              <w:top w:val="single" w:sz="5" w:space="0" w:color="005B52"/>
              <w:left w:val="nil"/>
              <w:bottom w:val="single" w:sz="5" w:space="0" w:color="005B52"/>
              <w:right w:val="single" w:sz="5" w:space="0" w:color="005B52"/>
            </w:tcBorders>
            <w:shd w:val="clear" w:color="auto" w:fill="005B52"/>
            <w:tcMar>
              <w:top w:w="80" w:type="dxa"/>
              <w:left w:w="120" w:type="dxa"/>
              <w:bottom w:w="80" w:type="dxa"/>
              <w:right w:w="120" w:type="dxa"/>
            </w:tcMar>
          </w:tcPr>
          <w:p w14:paraId="000000D6" w14:textId="77777777" w:rsidR="00031725" w:rsidRDefault="00000000">
            <w:pPr>
              <w:spacing w:before="40" w:after="20"/>
              <w:jc w:val="center"/>
              <w:rPr>
                <w:b/>
                <w:bCs/>
                <w:color w:val="FFFFFF"/>
                <w:sz w:val="18"/>
                <w:szCs w:val="18"/>
              </w:rPr>
            </w:pPr>
            <w:r>
              <w:rPr>
                <w:b/>
                <w:bCs/>
                <w:color w:val="FFFFFF"/>
                <w:sz w:val="18"/>
                <w:szCs w:val="18"/>
              </w:rPr>
              <w:t>Aligned Gap(s)</w:t>
            </w:r>
          </w:p>
          <w:p w14:paraId="000000D7" w14:textId="77777777" w:rsidR="00031725" w:rsidRDefault="00000000">
            <w:pPr>
              <w:spacing w:before="40" w:after="40"/>
              <w:jc w:val="center"/>
              <w:rPr>
                <w:i/>
                <w:iCs/>
                <w:color w:val="FFFFFF"/>
                <w:sz w:val="16"/>
                <w:szCs w:val="16"/>
              </w:rPr>
            </w:pPr>
            <w:r>
              <w:rPr>
                <w:i/>
                <w:iCs/>
                <w:color w:val="FFFFFF"/>
                <w:sz w:val="16"/>
                <w:szCs w:val="16"/>
              </w:rPr>
              <w:t>The research challenge addressed in Section 3.1</w:t>
            </w:r>
          </w:p>
        </w:tc>
        <w:tc>
          <w:tcPr>
            <w:tcW w:w="1485" w:type="dxa"/>
            <w:tcBorders>
              <w:top w:val="single" w:sz="5" w:space="0" w:color="005B52"/>
              <w:left w:val="nil"/>
              <w:bottom w:val="single" w:sz="5" w:space="0" w:color="005B52"/>
              <w:right w:val="single" w:sz="5" w:space="0" w:color="005B52"/>
            </w:tcBorders>
            <w:shd w:val="clear" w:color="auto" w:fill="005B52"/>
            <w:tcMar>
              <w:top w:w="80" w:type="dxa"/>
              <w:left w:w="120" w:type="dxa"/>
              <w:bottom w:w="80" w:type="dxa"/>
              <w:right w:w="120" w:type="dxa"/>
            </w:tcMar>
          </w:tcPr>
          <w:p w14:paraId="000000D8" w14:textId="77777777" w:rsidR="00031725" w:rsidRDefault="00000000">
            <w:pPr>
              <w:spacing w:before="40" w:after="20"/>
              <w:jc w:val="center"/>
              <w:rPr>
                <w:b/>
                <w:bCs/>
                <w:color w:val="FFFFFF"/>
                <w:sz w:val="18"/>
                <w:szCs w:val="18"/>
              </w:rPr>
            </w:pPr>
            <w:r>
              <w:rPr>
                <w:b/>
                <w:bCs/>
                <w:color w:val="FFFFFF"/>
                <w:sz w:val="18"/>
                <w:szCs w:val="18"/>
              </w:rPr>
              <w:t>Status</w:t>
            </w:r>
          </w:p>
          <w:p w14:paraId="000000D9" w14:textId="77777777" w:rsidR="00031725" w:rsidRDefault="00000000">
            <w:pPr>
              <w:spacing w:before="40" w:after="40"/>
              <w:jc w:val="center"/>
              <w:rPr>
                <w:i/>
                <w:iCs/>
                <w:color w:val="FFFFFF"/>
                <w:sz w:val="16"/>
                <w:szCs w:val="16"/>
              </w:rPr>
            </w:pPr>
            <w:r>
              <w:rPr>
                <w:i/>
                <w:iCs/>
                <w:color w:val="FFFFFF"/>
                <w:sz w:val="16"/>
                <w:szCs w:val="16"/>
              </w:rPr>
              <w:t>In scope now, or identified for future development</w:t>
            </w:r>
          </w:p>
        </w:tc>
      </w:tr>
      <w:tr w:rsidR="00031725" w14:paraId="3D106A67" w14:textId="77777777">
        <w:trPr>
          <w:trHeight w:val="450"/>
        </w:trPr>
        <w:tc>
          <w:tcPr>
            <w:tcW w:w="9015" w:type="dxa"/>
            <w:gridSpan w:val="5"/>
            <w:tcBorders>
              <w:top w:val="nil"/>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0DA" w14:textId="77777777" w:rsidR="00031725" w:rsidRDefault="00000000">
            <w:pPr>
              <w:spacing w:before="40" w:after="40"/>
              <w:rPr>
                <w:b/>
                <w:bCs/>
                <w:color w:val="005B52"/>
                <w:sz w:val="18"/>
                <w:szCs w:val="18"/>
              </w:rPr>
            </w:pPr>
            <w:r>
              <w:rPr>
                <w:b/>
                <w:bCs/>
                <w:color w:val="005B52"/>
                <w:sz w:val="18"/>
                <w:szCs w:val="18"/>
              </w:rPr>
              <w:t>1. REPOSITORY SELECTION</w:t>
            </w:r>
          </w:p>
        </w:tc>
      </w:tr>
      <w:tr w:rsidR="00031725" w14:paraId="39CEC710" w14:textId="77777777">
        <w:trPr>
          <w:trHeight w:val="2295"/>
        </w:trPr>
        <w:tc>
          <w:tcPr>
            <w:tcW w:w="2385" w:type="dxa"/>
            <w:tcBorders>
              <w:top w:val="nil"/>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0DF" w14:textId="77777777" w:rsidR="00031725" w:rsidRDefault="00000000">
            <w:pPr>
              <w:spacing w:before="40" w:after="40"/>
              <w:rPr>
                <w:sz w:val="18"/>
                <w:szCs w:val="18"/>
              </w:rPr>
            </w:pPr>
            <w:r>
              <w:rPr>
                <w:sz w:val="18"/>
                <w:szCs w:val="18"/>
              </w:rPr>
              <w:t>Search and recommend appropriate data repositories based on funder, institutional, journal, and disciplinary requirements</w:t>
            </w:r>
          </w:p>
        </w:tc>
        <w:tc>
          <w:tcPr>
            <w:tcW w:w="1410"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0E0" w14:textId="77777777" w:rsidR="00031725" w:rsidRDefault="00000000">
            <w:pPr>
              <w:spacing w:before="40" w:after="40"/>
              <w:rPr>
                <w:sz w:val="18"/>
                <w:szCs w:val="18"/>
              </w:rPr>
            </w:pPr>
            <w:r>
              <w:rPr>
                <w:sz w:val="18"/>
                <w:szCs w:val="18"/>
              </w:rPr>
              <w:t>Researcher, Data Support Professional</w:t>
            </w:r>
          </w:p>
        </w:tc>
        <w:tc>
          <w:tcPr>
            <w:tcW w:w="2325"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0E1" w14:textId="77777777" w:rsidR="00031725" w:rsidRDefault="00000000">
            <w:pPr>
              <w:spacing w:before="40" w:after="40"/>
              <w:rPr>
                <w:sz w:val="18"/>
                <w:szCs w:val="18"/>
              </w:rPr>
            </w:pPr>
            <w:r>
              <w:rPr>
                <w:sz w:val="18"/>
                <w:szCs w:val="18"/>
              </w:rPr>
              <w:t>A suitable repository is identified; conflicts between funder, institutional, journal and disciplinary requirements are flagged for human review; metadata recommendations for the selected repository are provided</w:t>
            </w:r>
          </w:p>
        </w:tc>
        <w:tc>
          <w:tcPr>
            <w:tcW w:w="1410"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0E2" w14:textId="77777777" w:rsidR="00031725" w:rsidRDefault="00000000">
            <w:pPr>
              <w:spacing w:before="40" w:after="40"/>
              <w:rPr>
                <w:sz w:val="18"/>
                <w:szCs w:val="18"/>
              </w:rPr>
            </w:pPr>
            <w:r>
              <w:rPr>
                <w:sz w:val="18"/>
                <w:szCs w:val="18"/>
              </w:rPr>
              <w:t>Policy, Standards, Support</w:t>
            </w:r>
          </w:p>
        </w:tc>
        <w:tc>
          <w:tcPr>
            <w:tcW w:w="1485" w:type="dxa"/>
            <w:tcBorders>
              <w:top w:val="nil"/>
              <w:left w:val="nil"/>
              <w:bottom w:val="single" w:sz="5" w:space="0" w:color="005B52"/>
              <w:right w:val="single" w:sz="5" w:space="0" w:color="005B52"/>
            </w:tcBorders>
            <w:shd w:val="clear" w:color="auto" w:fill="E2EFDA"/>
            <w:tcMar>
              <w:top w:w="80" w:type="dxa"/>
              <w:left w:w="120" w:type="dxa"/>
              <w:bottom w:w="80" w:type="dxa"/>
              <w:right w:w="120" w:type="dxa"/>
            </w:tcMar>
          </w:tcPr>
          <w:p w14:paraId="000000E3" w14:textId="77777777" w:rsidR="00031725" w:rsidRDefault="00000000">
            <w:pPr>
              <w:spacing w:before="40" w:after="40"/>
              <w:rPr>
                <w:b/>
                <w:bCs/>
                <w:color w:val="375623"/>
                <w:sz w:val="18"/>
                <w:szCs w:val="18"/>
              </w:rPr>
            </w:pPr>
            <w:r>
              <w:rPr>
                <w:b/>
                <w:bCs/>
                <w:color w:val="375623"/>
                <w:sz w:val="18"/>
                <w:szCs w:val="18"/>
              </w:rPr>
              <w:t>Confirmed</w:t>
            </w:r>
          </w:p>
        </w:tc>
      </w:tr>
      <w:tr w:rsidR="00031725" w14:paraId="4CB77BE4" w14:textId="77777777">
        <w:trPr>
          <w:trHeight w:val="1680"/>
        </w:trPr>
        <w:tc>
          <w:tcPr>
            <w:tcW w:w="2385" w:type="dxa"/>
            <w:tcBorders>
              <w:top w:val="nil"/>
              <w:left w:val="single" w:sz="5" w:space="0" w:color="005B52"/>
              <w:bottom w:val="single" w:sz="5" w:space="0" w:color="005B52"/>
              <w:right w:val="single" w:sz="5" w:space="0" w:color="005B52"/>
            </w:tcBorders>
            <w:tcMar>
              <w:top w:w="80" w:type="dxa"/>
              <w:left w:w="120" w:type="dxa"/>
              <w:bottom w:w="80" w:type="dxa"/>
              <w:right w:w="120" w:type="dxa"/>
            </w:tcMar>
          </w:tcPr>
          <w:p w14:paraId="000000E4" w14:textId="77777777" w:rsidR="00031725" w:rsidRDefault="00000000">
            <w:pPr>
              <w:spacing w:before="40" w:after="40"/>
              <w:rPr>
                <w:sz w:val="18"/>
                <w:szCs w:val="18"/>
              </w:rPr>
            </w:pPr>
            <w:r>
              <w:rPr>
                <w:sz w:val="18"/>
                <w:szCs w:val="18"/>
              </w:rPr>
              <w:t>Set access conditions and assign a licence for data reuse, including open, restricted, and embargoed options</w:t>
            </w:r>
          </w:p>
        </w:tc>
        <w:tc>
          <w:tcPr>
            <w:tcW w:w="1410" w:type="dxa"/>
            <w:tcBorders>
              <w:top w:val="nil"/>
              <w:left w:val="nil"/>
              <w:bottom w:val="single" w:sz="5" w:space="0" w:color="005B52"/>
              <w:right w:val="single" w:sz="5" w:space="0" w:color="005B52"/>
            </w:tcBorders>
            <w:tcMar>
              <w:top w:w="80" w:type="dxa"/>
              <w:left w:w="120" w:type="dxa"/>
              <w:bottom w:w="80" w:type="dxa"/>
              <w:right w:w="120" w:type="dxa"/>
            </w:tcMar>
          </w:tcPr>
          <w:p w14:paraId="000000E5" w14:textId="77777777" w:rsidR="00031725" w:rsidRDefault="00000000">
            <w:pPr>
              <w:spacing w:before="40" w:after="40"/>
              <w:rPr>
                <w:sz w:val="18"/>
                <w:szCs w:val="18"/>
              </w:rPr>
            </w:pPr>
            <w:r>
              <w:rPr>
                <w:sz w:val="18"/>
                <w:szCs w:val="18"/>
              </w:rPr>
              <w:t>Researcher, Data Support Professional</w:t>
            </w:r>
          </w:p>
        </w:tc>
        <w:tc>
          <w:tcPr>
            <w:tcW w:w="2325" w:type="dxa"/>
            <w:tcBorders>
              <w:top w:val="nil"/>
              <w:left w:val="nil"/>
              <w:bottom w:val="single" w:sz="5" w:space="0" w:color="005B52"/>
              <w:right w:val="single" w:sz="5" w:space="0" w:color="005B52"/>
            </w:tcBorders>
            <w:tcMar>
              <w:top w:w="80" w:type="dxa"/>
              <w:left w:w="120" w:type="dxa"/>
              <w:bottom w:w="80" w:type="dxa"/>
              <w:right w:w="120" w:type="dxa"/>
            </w:tcMar>
          </w:tcPr>
          <w:p w14:paraId="000000E6" w14:textId="77777777" w:rsidR="00031725" w:rsidRDefault="00000000">
            <w:pPr>
              <w:spacing w:before="40" w:after="40"/>
              <w:rPr>
                <w:sz w:val="18"/>
                <w:szCs w:val="18"/>
              </w:rPr>
            </w:pPr>
            <w:r>
              <w:rPr>
                <w:sz w:val="18"/>
                <w:szCs w:val="18"/>
              </w:rPr>
              <w:t>Access conditions and licence are defined and attached to the dataset; open, restricted, and embargoed options are supported; funder or journal mandates are flagged where relevant</w:t>
            </w:r>
          </w:p>
        </w:tc>
        <w:tc>
          <w:tcPr>
            <w:tcW w:w="1410" w:type="dxa"/>
            <w:tcBorders>
              <w:top w:val="nil"/>
              <w:left w:val="nil"/>
              <w:bottom w:val="single" w:sz="5" w:space="0" w:color="005B52"/>
              <w:right w:val="single" w:sz="5" w:space="0" w:color="005B52"/>
            </w:tcBorders>
            <w:tcMar>
              <w:top w:w="80" w:type="dxa"/>
              <w:left w:w="120" w:type="dxa"/>
              <w:bottom w:w="80" w:type="dxa"/>
              <w:right w:w="120" w:type="dxa"/>
            </w:tcMar>
          </w:tcPr>
          <w:p w14:paraId="000000E7" w14:textId="77777777" w:rsidR="00031725" w:rsidRDefault="00000000">
            <w:pPr>
              <w:spacing w:before="40" w:after="40"/>
              <w:rPr>
                <w:sz w:val="18"/>
                <w:szCs w:val="18"/>
              </w:rPr>
            </w:pPr>
            <w:r>
              <w:rPr>
                <w:sz w:val="18"/>
                <w:szCs w:val="18"/>
              </w:rPr>
              <w:t>Policy, Governance</w:t>
            </w:r>
          </w:p>
        </w:tc>
        <w:tc>
          <w:tcPr>
            <w:tcW w:w="1485" w:type="dxa"/>
            <w:tcBorders>
              <w:top w:val="nil"/>
              <w:left w:val="nil"/>
              <w:bottom w:val="single" w:sz="5" w:space="0" w:color="005B52"/>
              <w:right w:val="single" w:sz="5" w:space="0" w:color="005B52"/>
            </w:tcBorders>
            <w:shd w:val="clear" w:color="auto" w:fill="FFF8E6"/>
            <w:tcMar>
              <w:top w:w="80" w:type="dxa"/>
              <w:left w:w="120" w:type="dxa"/>
              <w:bottom w:w="80" w:type="dxa"/>
              <w:right w:w="120" w:type="dxa"/>
            </w:tcMar>
          </w:tcPr>
          <w:p w14:paraId="000000E8" w14:textId="77777777" w:rsidR="00031725" w:rsidRDefault="00000000">
            <w:pPr>
              <w:spacing w:before="40" w:after="40"/>
              <w:rPr>
                <w:b/>
                <w:bCs/>
                <w:color w:val="7F6000"/>
                <w:sz w:val="18"/>
                <w:szCs w:val="18"/>
              </w:rPr>
            </w:pPr>
            <w:r>
              <w:rPr>
                <w:b/>
                <w:bCs/>
                <w:color w:val="7F6000"/>
                <w:sz w:val="18"/>
                <w:szCs w:val="18"/>
              </w:rPr>
              <w:t>Future Consideration</w:t>
            </w:r>
          </w:p>
        </w:tc>
      </w:tr>
      <w:tr w:rsidR="00031725" w14:paraId="3618B3D1" w14:textId="77777777">
        <w:trPr>
          <w:trHeight w:val="1470"/>
        </w:trPr>
        <w:tc>
          <w:tcPr>
            <w:tcW w:w="2385" w:type="dxa"/>
            <w:tcBorders>
              <w:top w:val="nil"/>
              <w:left w:val="single" w:sz="5" w:space="0" w:color="005B52"/>
              <w:bottom w:val="single" w:sz="5" w:space="0" w:color="005B52"/>
              <w:right w:val="single" w:sz="5" w:space="0" w:color="005B52"/>
            </w:tcBorders>
            <w:tcMar>
              <w:top w:w="80" w:type="dxa"/>
              <w:left w:w="120" w:type="dxa"/>
              <w:bottom w:w="80" w:type="dxa"/>
              <w:right w:w="120" w:type="dxa"/>
            </w:tcMar>
          </w:tcPr>
          <w:p w14:paraId="000000E9" w14:textId="77777777" w:rsidR="00031725" w:rsidRDefault="00000000">
            <w:pPr>
              <w:spacing w:before="40" w:after="40"/>
              <w:rPr>
                <w:sz w:val="18"/>
                <w:szCs w:val="18"/>
              </w:rPr>
            </w:pPr>
            <w:r>
              <w:rPr>
                <w:sz w:val="18"/>
                <w:szCs w:val="18"/>
              </w:rPr>
              <w:t>Generate a private review link for manuscript peer reviewers to access an embargoed dataset before the associated journal article is published</w:t>
            </w:r>
          </w:p>
        </w:tc>
        <w:tc>
          <w:tcPr>
            <w:tcW w:w="1410" w:type="dxa"/>
            <w:tcBorders>
              <w:top w:val="nil"/>
              <w:left w:val="nil"/>
              <w:bottom w:val="single" w:sz="5" w:space="0" w:color="005B52"/>
              <w:right w:val="single" w:sz="5" w:space="0" w:color="005B52"/>
            </w:tcBorders>
            <w:tcMar>
              <w:top w:w="80" w:type="dxa"/>
              <w:left w:w="120" w:type="dxa"/>
              <w:bottom w:w="80" w:type="dxa"/>
              <w:right w:w="120" w:type="dxa"/>
            </w:tcMar>
          </w:tcPr>
          <w:p w14:paraId="000000EA" w14:textId="77777777" w:rsidR="00031725" w:rsidRDefault="00000000">
            <w:pPr>
              <w:spacing w:before="40" w:after="40"/>
              <w:rPr>
                <w:sz w:val="18"/>
                <w:szCs w:val="18"/>
              </w:rPr>
            </w:pPr>
            <w:r>
              <w:rPr>
                <w:sz w:val="18"/>
                <w:szCs w:val="18"/>
              </w:rPr>
              <w:t>Researcher, Data Support Professional</w:t>
            </w:r>
          </w:p>
        </w:tc>
        <w:tc>
          <w:tcPr>
            <w:tcW w:w="2325" w:type="dxa"/>
            <w:tcBorders>
              <w:top w:val="nil"/>
              <w:left w:val="nil"/>
              <w:bottom w:val="single" w:sz="5" w:space="0" w:color="005B52"/>
              <w:right w:val="single" w:sz="5" w:space="0" w:color="005B52"/>
            </w:tcBorders>
            <w:tcMar>
              <w:top w:w="80" w:type="dxa"/>
              <w:left w:w="120" w:type="dxa"/>
              <w:bottom w:w="80" w:type="dxa"/>
              <w:right w:w="120" w:type="dxa"/>
            </w:tcMar>
          </w:tcPr>
          <w:p w14:paraId="000000EB" w14:textId="77777777" w:rsidR="00031725" w:rsidRDefault="00000000">
            <w:pPr>
              <w:spacing w:before="40" w:after="40"/>
              <w:rPr>
                <w:sz w:val="18"/>
                <w:szCs w:val="18"/>
              </w:rPr>
            </w:pPr>
            <w:r>
              <w:rPr>
                <w:sz w:val="18"/>
                <w:szCs w:val="18"/>
              </w:rPr>
              <w:t>Peer reviewers can access the dataset under embargo without it being made publicly available; access is time-limited and auditable</w:t>
            </w:r>
          </w:p>
        </w:tc>
        <w:tc>
          <w:tcPr>
            <w:tcW w:w="1410" w:type="dxa"/>
            <w:tcBorders>
              <w:top w:val="nil"/>
              <w:left w:val="nil"/>
              <w:bottom w:val="single" w:sz="5" w:space="0" w:color="005B52"/>
              <w:right w:val="single" w:sz="5" w:space="0" w:color="005B52"/>
            </w:tcBorders>
            <w:tcMar>
              <w:top w:w="80" w:type="dxa"/>
              <w:left w:w="120" w:type="dxa"/>
              <w:bottom w:w="80" w:type="dxa"/>
              <w:right w:w="120" w:type="dxa"/>
            </w:tcMar>
          </w:tcPr>
          <w:p w14:paraId="000000EC" w14:textId="77777777" w:rsidR="00031725" w:rsidRDefault="00000000">
            <w:pPr>
              <w:spacing w:before="40" w:after="40"/>
              <w:rPr>
                <w:sz w:val="18"/>
                <w:szCs w:val="18"/>
              </w:rPr>
            </w:pPr>
            <w:r>
              <w:rPr>
                <w:sz w:val="18"/>
                <w:szCs w:val="18"/>
              </w:rPr>
              <w:t>Policy, Governance</w:t>
            </w:r>
          </w:p>
        </w:tc>
        <w:tc>
          <w:tcPr>
            <w:tcW w:w="1485" w:type="dxa"/>
            <w:tcBorders>
              <w:top w:val="nil"/>
              <w:left w:val="nil"/>
              <w:bottom w:val="single" w:sz="5" w:space="0" w:color="005B52"/>
              <w:right w:val="single" w:sz="5" w:space="0" w:color="005B52"/>
            </w:tcBorders>
            <w:shd w:val="clear" w:color="auto" w:fill="FFF8E6"/>
            <w:tcMar>
              <w:top w:w="80" w:type="dxa"/>
              <w:left w:w="120" w:type="dxa"/>
              <w:bottom w:w="80" w:type="dxa"/>
              <w:right w:w="120" w:type="dxa"/>
            </w:tcMar>
          </w:tcPr>
          <w:p w14:paraId="000000ED" w14:textId="77777777" w:rsidR="00031725" w:rsidRDefault="00000000">
            <w:pPr>
              <w:spacing w:before="40" w:after="40"/>
              <w:rPr>
                <w:b/>
                <w:bCs/>
                <w:color w:val="7F6000"/>
                <w:sz w:val="18"/>
                <w:szCs w:val="18"/>
              </w:rPr>
            </w:pPr>
            <w:r>
              <w:rPr>
                <w:b/>
                <w:bCs/>
                <w:color w:val="7F6000"/>
                <w:sz w:val="18"/>
                <w:szCs w:val="18"/>
              </w:rPr>
              <w:t>Future Consideration</w:t>
            </w:r>
          </w:p>
        </w:tc>
      </w:tr>
      <w:tr w:rsidR="00031725" w14:paraId="6CB73888" w14:textId="77777777">
        <w:trPr>
          <w:trHeight w:val="2085"/>
        </w:trPr>
        <w:tc>
          <w:tcPr>
            <w:tcW w:w="2385" w:type="dxa"/>
            <w:tcBorders>
              <w:top w:val="nil"/>
              <w:left w:val="single" w:sz="5" w:space="0" w:color="005B52"/>
              <w:bottom w:val="single" w:sz="5" w:space="0" w:color="005B52"/>
              <w:right w:val="single" w:sz="5" w:space="0" w:color="005B52"/>
            </w:tcBorders>
            <w:tcMar>
              <w:top w:w="80" w:type="dxa"/>
              <w:left w:w="120" w:type="dxa"/>
              <w:bottom w:w="80" w:type="dxa"/>
              <w:right w:w="120" w:type="dxa"/>
            </w:tcMar>
          </w:tcPr>
          <w:p w14:paraId="000000EE" w14:textId="77777777" w:rsidR="00031725" w:rsidRDefault="00000000">
            <w:pPr>
              <w:spacing w:before="40" w:after="40"/>
              <w:rPr>
                <w:sz w:val="18"/>
                <w:szCs w:val="18"/>
              </w:rPr>
            </w:pPr>
            <w:r>
              <w:rPr>
                <w:sz w:val="18"/>
                <w:szCs w:val="18"/>
              </w:rPr>
              <w:lastRenderedPageBreak/>
              <w:t>Monitor embargo status and alert the researcher when a dataset should be released to public access following journal article publication</w:t>
            </w:r>
          </w:p>
        </w:tc>
        <w:tc>
          <w:tcPr>
            <w:tcW w:w="1410" w:type="dxa"/>
            <w:tcBorders>
              <w:top w:val="nil"/>
              <w:left w:val="nil"/>
              <w:bottom w:val="single" w:sz="5" w:space="0" w:color="005B52"/>
              <w:right w:val="single" w:sz="5" w:space="0" w:color="005B52"/>
            </w:tcBorders>
            <w:tcMar>
              <w:top w:w="80" w:type="dxa"/>
              <w:left w:w="120" w:type="dxa"/>
              <w:bottom w:w="80" w:type="dxa"/>
              <w:right w:w="120" w:type="dxa"/>
            </w:tcMar>
          </w:tcPr>
          <w:p w14:paraId="000000EF" w14:textId="77777777" w:rsidR="00031725" w:rsidRDefault="00000000">
            <w:pPr>
              <w:spacing w:before="40" w:after="40"/>
              <w:rPr>
                <w:sz w:val="18"/>
                <w:szCs w:val="18"/>
              </w:rPr>
            </w:pPr>
            <w:r>
              <w:rPr>
                <w:sz w:val="18"/>
                <w:szCs w:val="18"/>
              </w:rPr>
              <w:t>Researcher, Data Support Professional</w:t>
            </w:r>
          </w:p>
        </w:tc>
        <w:tc>
          <w:tcPr>
            <w:tcW w:w="2325" w:type="dxa"/>
            <w:tcBorders>
              <w:top w:val="nil"/>
              <w:left w:val="nil"/>
              <w:bottom w:val="single" w:sz="5" w:space="0" w:color="005B52"/>
              <w:right w:val="single" w:sz="5" w:space="0" w:color="005B52"/>
            </w:tcBorders>
            <w:tcMar>
              <w:top w:w="80" w:type="dxa"/>
              <w:left w:w="120" w:type="dxa"/>
              <w:bottom w:w="80" w:type="dxa"/>
              <w:right w:w="120" w:type="dxa"/>
            </w:tcMar>
          </w:tcPr>
          <w:p w14:paraId="000000F0" w14:textId="77777777" w:rsidR="00031725" w:rsidRDefault="00000000">
            <w:pPr>
              <w:spacing w:before="40" w:after="40"/>
              <w:rPr>
                <w:sz w:val="18"/>
                <w:szCs w:val="18"/>
              </w:rPr>
            </w:pPr>
            <w:r>
              <w:rPr>
                <w:sz w:val="18"/>
                <w:szCs w:val="18"/>
              </w:rPr>
              <w:t>The researcher is notified when the embargo period has elapsed and the associated journal article has been published; release to public access is confirmed by the researcher before being enacted</w:t>
            </w:r>
          </w:p>
        </w:tc>
        <w:tc>
          <w:tcPr>
            <w:tcW w:w="1410" w:type="dxa"/>
            <w:tcBorders>
              <w:top w:val="nil"/>
              <w:left w:val="nil"/>
              <w:bottom w:val="single" w:sz="5" w:space="0" w:color="005B52"/>
              <w:right w:val="single" w:sz="5" w:space="0" w:color="005B52"/>
            </w:tcBorders>
            <w:tcMar>
              <w:top w:w="80" w:type="dxa"/>
              <w:left w:w="120" w:type="dxa"/>
              <w:bottom w:w="80" w:type="dxa"/>
              <w:right w:w="120" w:type="dxa"/>
            </w:tcMar>
          </w:tcPr>
          <w:p w14:paraId="000000F1" w14:textId="77777777" w:rsidR="00031725" w:rsidRDefault="00000000">
            <w:pPr>
              <w:spacing w:before="40" w:after="40"/>
              <w:rPr>
                <w:sz w:val="18"/>
                <w:szCs w:val="18"/>
              </w:rPr>
            </w:pPr>
            <w:r>
              <w:rPr>
                <w:sz w:val="18"/>
                <w:szCs w:val="18"/>
              </w:rPr>
              <w:t>Policy, Governance</w:t>
            </w:r>
          </w:p>
        </w:tc>
        <w:tc>
          <w:tcPr>
            <w:tcW w:w="1485" w:type="dxa"/>
            <w:tcBorders>
              <w:top w:val="nil"/>
              <w:left w:val="nil"/>
              <w:bottom w:val="single" w:sz="5" w:space="0" w:color="005B52"/>
              <w:right w:val="single" w:sz="5" w:space="0" w:color="005B52"/>
            </w:tcBorders>
            <w:shd w:val="clear" w:color="auto" w:fill="FFF8E6"/>
            <w:tcMar>
              <w:top w:w="80" w:type="dxa"/>
              <w:left w:w="120" w:type="dxa"/>
              <w:bottom w:w="80" w:type="dxa"/>
              <w:right w:w="120" w:type="dxa"/>
            </w:tcMar>
          </w:tcPr>
          <w:p w14:paraId="000000F2" w14:textId="77777777" w:rsidR="00031725" w:rsidRDefault="00000000">
            <w:pPr>
              <w:spacing w:before="40" w:after="40"/>
              <w:rPr>
                <w:b/>
                <w:bCs/>
                <w:color w:val="7F6000"/>
                <w:sz w:val="18"/>
                <w:szCs w:val="18"/>
              </w:rPr>
            </w:pPr>
            <w:r>
              <w:rPr>
                <w:b/>
                <w:bCs/>
                <w:color w:val="7F6000"/>
                <w:sz w:val="18"/>
                <w:szCs w:val="18"/>
              </w:rPr>
              <w:t>Future Consideration</w:t>
            </w:r>
          </w:p>
        </w:tc>
      </w:tr>
      <w:tr w:rsidR="00031725" w14:paraId="1AED58EA" w14:textId="77777777">
        <w:trPr>
          <w:trHeight w:val="1890"/>
        </w:trPr>
        <w:tc>
          <w:tcPr>
            <w:tcW w:w="2385" w:type="dxa"/>
            <w:tcBorders>
              <w:top w:val="nil"/>
              <w:left w:val="single" w:sz="5" w:space="0" w:color="005B52"/>
              <w:bottom w:val="single" w:sz="5" w:space="0" w:color="005B52"/>
              <w:right w:val="single" w:sz="5" w:space="0" w:color="005B52"/>
            </w:tcBorders>
            <w:tcMar>
              <w:top w:w="80" w:type="dxa"/>
              <w:left w:w="120" w:type="dxa"/>
              <w:bottom w:w="80" w:type="dxa"/>
              <w:right w:w="120" w:type="dxa"/>
            </w:tcMar>
          </w:tcPr>
          <w:p w14:paraId="000000F3" w14:textId="77777777" w:rsidR="00031725" w:rsidRDefault="00000000">
            <w:pPr>
              <w:spacing w:before="40" w:after="40"/>
              <w:rPr>
                <w:sz w:val="18"/>
                <w:szCs w:val="18"/>
              </w:rPr>
            </w:pPr>
            <w:r>
              <w:rPr>
                <w:sz w:val="18"/>
                <w:szCs w:val="18"/>
              </w:rPr>
              <w:t xml:space="preserve">Check repository certification and trustworthiness, for example against </w:t>
            </w:r>
            <w:hyperlink r:id="rId21">
              <w:r w:rsidR="00031725">
                <w:rPr>
                  <w:color w:val="1155CC"/>
                  <w:sz w:val="18"/>
                  <w:szCs w:val="18"/>
                  <w:u w:val="single"/>
                </w:rPr>
                <w:t>CoreTrustSeal</w:t>
              </w:r>
            </w:hyperlink>
            <w:r>
              <w:rPr>
                <w:sz w:val="18"/>
                <w:szCs w:val="18"/>
                <w:vertAlign w:val="superscript"/>
              </w:rPr>
              <w:footnoteReference w:id="12"/>
            </w:r>
            <w:r>
              <w:rPr>
                <w:sz w:val="18"/>
                <w:szCs w:val="18"/>
              </w:rPr>
              <w:t xml:space="preserve"> or </w:t>
            </w:r>
            <w:hyperlink r:id="rId22">
              <w:r w:rsidR="00031725">
                <w:rPr>
                  <w:color w:val="1155CC"/>
                  <w:sz w:val="18"/>
                  <w:szCs w:val="18"/>
                  <w:u w:val="single"/>
                </w:rPr>
                <w:t>FAIRsharing</w:t>
              </w:r>
            </w:hyperlink>
            <w:r>
              <w:rPr>
                <w:sz w:val="18"/>
                <w:szCs w:val="18"/>
                <w:vertAlign w:val="superscript"/>
              </w:rPr>
              <w:footnoteReference w:id="13"/>
            </w:r>
            <w:r>
              <w:rPr>
                <w:sz w:val="18"/>
                <w:szCs w:val="18"/>
              </w:rPr>
              <w:t xml:space="preserve"> criteria</w:t>
            </w:r>
          </w:p>
        </w:tc>
        <w:tc>
          <w:tcPr>
            <w:tcW w:w="1410" w:type="dxa"/>
            <w:tcBorders>
              <w:top w:val="nil"/>
              <w:left w:val="nil"/>
              <w:bottom w:val="single" w:sz="5" w:space="0" w:color="005B52"/>
              <w:right w:val="single" w:sz="5" w:space="0" w:color="005B52"/>
            </w:tcBorders>
            <w:tcMar>
              <w:top w:w="80" w:type="dxa"/>
              <w:left w:w="120" w:type="dxa"/>
              <w:bottom w:w="80" w:type="dxa"/>
              <w:right w:w="120" w:type="dxa"/>
            </w:tcMar>
          </w:tcPr>
          <w:p w14:paraId="000000F4" w14:textId="77777777" w:rsidR="00031725" w:rsidRDefault="00000000">
            <w:pPr>
              <w:spacing w:before="40" w:after="40"/>
              <w:rPr>
                <w:sz w:val="18"/>
                <w:szCs w:val="18"/>
              </w:rPr>
            </w:pPr>
            <w:r>
              <w:rPr>
                <w:sz w:val="18"/>
                <w:szCs w:val="18"/>
              </w:rPr>
              <w:t>Researcher, Data Support Professional</w:t>
            </w:r>
          </w:p>
        </w:tc>
        <w:tc>
          <w:tcPr>
            <w:tcW w:w="2325" w:type="dxa"/>
            <w:tcBorders>
              <w:top w:val="nil"/>
              <w:left w:val="nil"/>
              <w:bottom w:val="single" w:sz="5" w:space="0" w:color="005B52"/>
              <w:right w:val="single" w:sz="5" w:space="0" w:color="005B52"/>
            </w:tcBorders>
            <w:tcMar>
              <w:top w:w="80" w:type="dxa"/>
              <w:left w:w="120" w:type="dxa"/>
              <w:bottom w:w="80" w:type="dxa"/>
              <w:right w:w="120" w:type="dxa"/>
            </w:tcMar>
          </w:tcPr>
          <w:p w14:paraId="000000F5" w14:textId="77777777" w:rsidR="00031725" w:rsidRDefault="00000000">
            <w:pPr>
              <w:spacing w:before="40" w:after="40"/>
              <w:rPr>
                <w:sz w:val="18"/>
                <w:szCs w:val="18"/>
              </w:rPr>
            </w:pPr>
            <w:r>
              <w:rPr>
                <w:sz w:val="18"/>
                <w:szCs w:val="18"/>
              </w:rPr>
              <w:t>Repository trustworthiness is surfaced using recognised schemes such as CoreTrustSeal and FAIRsharing; free certification options are prioritised over paid alternatives</w:t>
            </w:r>
          </w:p>
        </w:tc>
        <w:tc>
          <w:tcPr>
            <w:tcW w:w="1410" w:type="dxa"/>
            <w:tcBorders>
              <w:top w:val="nil"/>
              <w:left w:val="nil"/>
              <w:bottom w:val="single" w:sz="5" w:space="0" w:color="005B52"/>
              <w:right w:val="single" w:sz="5" w:space="0" w:color="005B52"/>
            </w:tcBorders>
            <w:tcMar>
              <w:top w:w="80" w:type="dxa"/>
              <w:left w:w="120" w:type="dxa"/>
              <w:bottom w:w="80" w:type="dxa"/>
              <w:right w:w="120" w:type="dxa"/>
            </w:tcMar>
          </w:tcPr>
          <w:p w14:paraId="000000F6" w14:textId="77777777" w:rsidR="00031725" w:rsidRDefault="00000000">
            <w:pPr>
              <w:spacing w:before="40" w:after="40"/>
              <w:rPr>
                <w:sz w:val="18"/>
                <w:szCs w:val="18"/>
              </w:rPr>
            </w:pPr>
            <w:r>
              <w:rPr>
                <w:sz w:val="18"/>
                <w:szCs w:val="18"/>
              </w:rPr>
              <w:t>Policy, Support</w:t>
            </w:r>
          </w:p>
        </w:tc>
        <w:tc>
          <w:tcPr>
            <w:tcW w:w="1485" w:type="dxa"/>
            <w:tcBorders>
              <w:top w:val="nil"/>
              <w:left w:val="nil"/>
              <w:bottom w:val="single" w:sz="5" w:space="0" w:color="005B52"/>
              <w:right w:val="single" w:sz="5" w:space="0" w:color="005B52"/>
            </w:tcBorders>
            <w:shd w:val="clear" w:color="auto" w:fill="FFF8E6"/>
            <w:tcMar>
              <w:top w:w="80" w:type="dxa"/>
              <w:left w:w="120" w:type="dxa"/>
              <w:bottom w:w="80" w:type="dxa"/>
              <w:right w:w="120" w:type="dxa"/>
            </w:tcMar>
          </w:tcPr>
          <w:p w14:paraId="000000F7" w14:textId="77777777" w:rsidR="00031725" w:rsidRDefault="00000000">
            <w:pPr>
              <w:spacing w:before="40" w:after="40"/>
              <w:rPr>
                <w:b/>
                <w:bCs/>
                <w:color w:val="7F6000"/>
                <w:sz w:val="18"/>
                <w:szCs w:val="18"/>
              </w:rPr>
            </w:pPr>
            <w:r>
              <w:rPr>
                <w:b/>
                <w:bCs/>
                <w:color w:val="7F6000"/>
                <w:sz w:val="18"/>
                <w:szCs w:val="18"/>
              </w:rPr>
              <w:t>Future Consideration</w:t>
            </w:r>
          </w:p>
        </w:tc>
      </w:tr>
      <w:tr w:rsidR="00031725" w14:paraId="1E78CE05" w14:textId="77777777">
        <w:trPr>
          <w:trHeight w:val="1680"/>
        </w:trPr>
        <w:tc>
          <w:tcPr>
            <w:tcW w:w="2385" w:type="dxa"/>
            <w:tcBorders>
              <w:top w:val="nil"/>
              <w:left w:val="single" w:sz="5" w:space="0" w:color="005B52"/>
              <w:bottom w:val="single" w:sz="5" w:space="0" w:color="005B52"/>
              <w:right w:val="single" w:sz="5" w:space="0" w:color="005B52"/>
            </w:tcBorders>
            <w:tcMar>
              <w:top w:w="80" w:type="dxa"/>
              <w:left w:w="120" w:type="dxa"/>
              <w:bottom w:w="80" w:type="dxa"/>
              <w:right w:w="120" w:type="dxa"/>
            </w:tcMar>
          </w:tcPr>
          <w:p w14:paraId="000000F8" w14:textId="77777777" w:rsidR="00031725" w:rsidRDefault="00000000">
            <w:pPr>
              <w:spacing w:before="40" w:after="40"/>
              <w:rPr>
                <w:sz w:val="18"/>
                <w:szCs w:val="18"/>
              </w:rPr>
            </w:pPr>
            <w:r>
              <w:rPr>
                <w:sz w:val="18"/>
                <w:szCs w:val="18"/>
              </w:rPr>
              <w:t>Provide guidance on managing and sharing very large data files, including file compression, transfer methods, and upload requirements for discipline-specific repositories</w:t>
            </w:r>
          </w:p>
        </w:tc>
        <w:tc>
          <w:tcPr>
            <w:tcW w:w="1410" w:type="dxa"/>
            <w:tcBorders>
              <w:top w:val="nil"/>
              <w:left w:val="nil"/>
              <w:bottom w:val="single" w:sz="5" w:space="0" w:color="005B52"/>
              <w:right w:val="single" w:sz="5" w:space="0" w:color="005B52"/>
            </w:tcBorders>
            <w:tcMar>
              <w:top w:w="80" w:type="dxa"/>
              <w:left w:w="120" w:type="dxa"/>
              <w:bottom w:w="80" w:type="dxa"/>
              <w:right w:w="120" w:type="dxa"/>
            </w:tcMar>
          </w:tcPr>
          <w:p w14:paraId="000000F9" w14:textId="77777777" w:rsidR="00031725" w:rsidRDefault="00000000">
            <w:pPr>
              <w:spacing w:before="40" w:after="40"/>
              <w:rPr>
                <w:sz w:val="18"/>
                <w:szCs w:val="18"/>
              </w:rPr>
            </w:pPr>
            <w:r>
              <w:rPr>
                <w:sz w:val="18"/>
                <w:szCs w:val="18"/>
              </w:rPr>
              <w:t>Researcher,</w:t>
            </w:r>
            <w:r>
              <w:rPr>
                <w:sz w:val="18"/>
                <w:szCs w:val="18"/>
              </w:rPr>
              <w:br/>
              <w:t>Data Support Professional</w:t>
            </w:r>
          </w:p>
        </w:tc>
        <w:tc>
          <w:tcPr>
            <w:tcW w:w="2325" w:type="dxa"/>
            <w:tcBorders>
              <w:top w:val="nil"/>
              <w:left w:val="nil"/>
              <w:bottom w:val="single" w:sz="5" w:space="0" w:color="005B52"/>
              <w:right w:val="single" w:sz="5" w:space="0" w:color="005B52"/>
            </w:tcBorders>
            <w:tcMar>
              <w:top w:w="80" w:type="dxa"/>
              <w:left w:w="120" w:type="dxa"/>
              <w:bottom w:w="80" w:type="dxa"/>
              <w:right w:w="120" w:type="dxa"/>
            </w:tcMar>
          </w:tcPr>
          <w:p w14:paraId="000000FA" w14:textId="77777777" w:rsidR="00031725" w:rsidRDefault="00000000">
            <w:pPr>
              <w:spacing w:before="40" w:after="40"/>
              <w:rPr>
                <w:sz w:val="18"/>
                <w:szCs w:val="18"/>
              </w:rPr>
            </w:pPr>
            <w:r>
              <w:rPr>
                <w:sz w:val="18"/>
                <w:szCs w:val="18"/>
              </w:rPr>
              <w:t>Researchers are guided towards appropriate solutions for large file storage, transfer, and format conversion; barriers to sharing large datasets are reduced</w:t>
            </w:r>
          </w:p>
        </w:tc>
        <w:tc>
          <w:tcPr>
            <w:tcW w:w="1410" w:type="dxa"/>
            <w:tcBorders>
              <w:top w:val="nil"/>
              <w:left w:val="nil"/>
              <w:bottom w:val="single" w:sz="5" w:space="0" w:color="005B52"/>
              <w:right w:val="single" w:sz="5" w:space="0" w:color="005B52"/>
            </w:tcBorders>
            <w:tcMar>
              <w:top w:w="80" w:type="dxa"/>
              <w:left w:w="120" w:type="dxa"/>
              <w:bottom w:w="80" w:type="dxa"/>
              <w:right w:w="120" w:type="dxa"/>
            </w:tcMar>
          </w:tcPr>
          <w:p w14:paraId="000000FB" w14:textId="77777777" w:rsidR="00031725" w:rsidRDefault="00000000">
            <w:pPr>
              <w:spacing w:before="40" w:after="40"/>
              <w:rPr>
                <w:sz w:val="18"/>
                <w:szCs w:val="18"/>
              </w:rPr>
            </w:pPr>
            <w:r>
              <w:rPr>
                <w:sz w:val="18"/>
                <w:szCs w:val="18"/>
              </w:rPr>
              <w:t>Capacity, Support</w:t>
            </w:r>
          </w:p>
        </w:tc>
        <w:tc>
          <w:tcPr>
            <w:tcW w:w="1485" w:type="dxa"/>
            <w:tcBorders>
              <w:top w:val="nil"/>
              <w:left w:val="nil"/>
              <w:bottom w:val="single" w:sz="5" w:space="0" w:color="005B52"/>
              <w:right w:val="single" w:sz="5" w:space="0" w:color="005B52"/>
            </w:tcBorders>
            <w:shd w:val="clear" w:color="auto" w:fill="FFF8E6"/>
            <w:tcMar>
              <w:top w:w="80" w:type="dxa"/>
              <w:left w:w="120" w:type="dxa"/>
              <w:bottom w:w="80" w:type="dxa"/>
              <w:right w:w="120" w:type="dxa"/>
            </w:tcMar>
          </w:tcPr>
          <w:p w14:paraId="000000FC" w14:textId="77777777" w:rsidR="00031725" w:rsidRDefault="00000000">
            <w:pPr>
              <w:spacing w:before="40" w:after="40"/>
              <w:rPr>
                <w:b/>
                <w:bCs/>
                <w:color w:val="7F6000"/>
                <w:sz w:val="18"/>
                <w:szCs w:val="18"/>
              </w:rPr>
            </w:pPr>
            <w:r>
              <w:rPr>
                <w:b/>
                <w:bCs/>
                <w:color w:val="7F6000"/>
                <w:sz w:val="18"/>
                <w:szCs w:val="18"/>
              </w:rPr>
              <w:t>Future Consideration</w:t>
            </w:r>
          </w:p>
        </w:tc>
      </w:tr>
      <w:tr w:rsidR="00031725" w14:paraId="1B845476" w14:textId="77777777">
        <w:trPr>
          <w:trHeight w:val="450"/>
        </w:trPr>
        <w:tc>
          <w:tcPr>
            <w:tcW w:w="9015" w:type="dxa"/>
            <w:gridSpan w:val="5"/>
            <w:tcBorders>
              <w:top w:val="nil"/>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0FD" w14:textId="77777777" w:rsidR="00031725" w:rsidRDefault="00000000">
            <w:pPr>
              <w:spacing w:before="40" w:after="40"/>
              <w:rPr>
                <w:b/>
                <w:bCs/>
                <w:color w:val="005B52"/>
                <w:sz w:val="18"/>
                <w:szCs w:val="18"/>
              </w:rPr>
            </w:pPr>
            <w:r>
              <w:rPr>
                <w:b/>
                <w:bCs/>
                <w:color w:val="005B52"/>
                <w:sz w:val="18"/>
                <w:szCs w:val="18"/>
              </w:rPr>
              <w:t>2. METADATA AND DOCUMENTATION</w:t>
            </w:r>
          </w:p>
        </w:tc>
      </w:tr>
      <w:tr w:rsidR="00031725" w14:paraId="3EA8E0A6" w14:textId="77777777">
        <w:trPr>
          <w:trHeight w:val="1890"/>
        </w:trPr>
        <w:tc>
          <w:tcPr>
            <w:tcW w:w="2385" w:type="dxa"/>
            <w:tcBorders>
              <w:top w:val="nil"/>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102" w14:textId="77777777" w:rsidR="00031725" w:rsidRDefault="00000000">
            <w:pPr>
              <w:spacing w:before="40" w:after="40"/>
              <w:rPr>
                <w:sz w:val="18"/>
                <w:szCs w:val="18"/>
              </w:rPr>
            </w:pPr>
            <w:r>
              <w:rPr>
                <w:sz w:val="18"/>
                <w:szCs w:val="18"/>
              </w:rPr>
              <w:t>Create FAIR-aligned and discipline-appropriate metadata, including controlled vocabularies, ontologies, and community standards such as CARE principles where applicable</w:t>
            </w:r>
          </w:p>
        </w:tc>
        <w:tc>
          <w:tcPr>
            <w:tcW w:w="1410"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03" w14:textId="77777777" w:rsidR="00031725" w:rsidRDefault="00000000">
            <w:pPr>
              <w:spacing w:before="40" w:after="40"/>
              <w:rPr>
                <w:sz w:val="18"/>
                <w:szCs w:val="18"/>
              </w:rPr>
            </w:pPr>
            <w:r>
              <w:rPr>
                <w:sz w:val="18"/>
                <w:szCs w:val="18"/>
              </w:rPr>
              <w:t>Researcher, Data Support Professional, Institution</w:t>
            </w:r>
          </w:p>
        </w:tc>
        <w:tc>
          <w:tcPr>
            <w:tcW w:w="2325"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04" w14:textId="77777777" w:rsidR="00031725" w:rsidRDefault="00000000">
            <w:pPr>
              <w:spacing w:before="40" w:after="40"/>
              <w:rPr>
                <w:sz w:val="18"/>
                <w:szCs w:val="18"/>
              </w:rPr>
            </w:pPr>
            <w:r>
              <w:rPr>
                <w:sz w:val="18"/>
                <w:szCs w:val="18"/>
              </w:rPr>
              <w:t>A draft metadata record is generated using appropriate controlled vocabularies (standardised term lists) and ontologies (structured concept frameworks); the researcher reviews and approves before submission</w:t>
            </w:r>
          </w:p>
        </w:tc>
        <w:tc>
          <w:tcPr>
            <w:tcW w:w="1410"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05" w14:textId="77777777" w:rsidR="00031725" w:rsidRDefault="00000000">
            <w:pPr>
              <w:spacing w:before="40" w:after="40"/>
              <w:rPr>
                <w:sz w:val="18"/>
                <w:szCs w:val="18"/>
              </w:rPr>
            </w:pPr>
            <w:r>
              <w:rPr>
                <w:sz w:val="18"/>
                <w:szCs w:val="18"/>
              </w:rPr>
              <w:t>Capacity, Standards, Support</w:t>
            </w:r>
          </w:p>
        </w:tc>
        <w:tc>
          <w:tcPr>
            <w:tcW w:w="1485" w:type="dxa"/>
            <w:tcBorders>
              <w:top w:val="nil"/>
              <w:left w:val="nil"/>
              <w:bottom w:val="single" w:sz="5" w:space="0" w:color="005B52"/>
              <w:right w:val="single" w:sz="5" w:space="0" w:color="005B52"/>
            </w:tcBorders>
            <w:shd w:val="clear" w:color="auto" w:fill="E2EFDA"/>
            <w:tcMar>
              <w:top w:w="80" w:type="dxa"/>
              <w:left w:w="120" w:type="dxa"/>
              <w:bottom w:w="80" w:type="dxa"/>
              <w:right w:w="120" w:type="dxa"/>
            </w:tcMar>
          </w:tcPr>
          <w:p w14:paraId="00000106" w14:textId="77777777" w:rsidR="00031725" w:rsidRDefault="00000000">
            <w:pPr>
              <w:spacing w:before="40" w:after="40"/>
              <w:rPr>
                <w:b/>
                <w:bCs/>
                <w:color w:val="375623"/>
                <w:sz w:val="18"/>
                <w:szCs w:val="18"/>
              </w:rPr>
            </w:pPr>
            <w:r>
              <w:rPr>
                <w:b/>
                <w:bCs/>
                <w:color w:val="375623"/>
                <w:sz w:val="18"/>
                <w:szCs w:val="18"/>
              </w:rPr>
              <w:t>Confirmed</w:t>
            </w:r>
          </w:p>
        </w:tc>
      </w:tr>
      <w:tr w:rsidR="00031725" w14:paraId="6FBF1977" w14:textId="77777777">
        <w:trPr>
          <w:trHeight w:val="1065"/>
        </w:trPr>
        <w:tc>
          <w:tcPr>
            <w:tcW w:w="2385" w:type="dxa"/>
            <w:tcBorders>
              <w:top w:val="nil"/>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107" w14:textId="77777777" w:rsidR="00031725" w:rsidRDefault="00000000">
            <w:pPr>
              <w:spacing w:before="40" w:after="40"/>
              <w:rPr>
                <w:sz w:val="18"/>
                <w:szCs w:val="18"/>
              </w:rPr>
            </w:pPr>
            <w:r>
              <w:rPr>
                <w:sz w:val="18"/>
                <w:szCs w:val="18"/>
              </w:rPr>
              <w:t xml:space="preserve">Suggest appropriate vocabularies and ontologies </w:t>
            </w:r>
          </w:p>
        </w:tc>
        <w:tc>
          <w:tcPr>
            <w:tcW w:w="1410"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08" w14:textId="77777777" w:rsidR="00031725" w:rsidRDefault="00000000">
            <w:pPr>
              <w:spacing w:before="40" w:after="40"/>
              <w:rPr>
                <w:sz w:val="18"/>
                <w:szCs w:val="18"/>
              </w:rPr>
            </w:pPr>
            <w:r>
              <w:rPr>
                <w:sz w:val="18"/>
                <w:szCs w:val="18"/>
              </w:rPr>
              <w:t>Researcher, Data Support Professional</w:t>
            </w:r>
          </w:p>
        </w:tc>
        <w:tc>
          <w:tcPr>
            <w:tcW w:w="2325"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09" w14:textId="77777777" w:rsidR="00031725" w:rsidRDefault="00000000">
            <w:pPr>
              <w:spacing w:before="40" w:after="40"/>
              <w:rPr>
                <w:sz w:val="18"/>
                <w:szCs w:val="18"/>
              </w:rPr>
            </w:pPr>
            <w:r>
              <w:rPr>
                <w:sz w:val="18"/>
                <w:szCs w:val="18"/>
              </w:rPr>
              <w:t xml:space="preserve">Improved consistency, interoperability, and discoverability of data, enabling machine-readable metadata and </w:t>
            </w:r>
            <w:r>
              <w:rPr>
                <w:sz w:val="18"/>
                <w:szCs w:val="18"/>
              </w:rPr>
              <w:lastRenderedPageBreak/>
              <w:t>supporting reuse across systems and communities</w:t>
            </w:r>
          </w:p>
        </w:tc>
        <w:tc>
          <w:tcPr>
            <w:tcW w:w="1410"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0A" w14:textId="77777777" w:rsidR="00031725" w:rsidRDefault="00000000">
            <w:pPr>
              <w:spacing w:before="40" w:after="40"/>
              <w:rPr>
                <w:sz w:val="18"/>
                <w:szCs w:val="18"/>
              </w:rPr>
            </w:pPr>
            <w:r>
              <w:rPr>
                <w:sz w:val="18"/>
                <w:szCs w:val="18"/>
              </w:rPr>
              <w:lastRenderedPageBreak/>
              <w:t>Standards, Capacity</w:t>
            </w:r>
          </w:p>
        </w:tc>
        <w:tc>
          <w:tcPr>
            <w:tcW w:w="1485" w:type="dxa"/>
            <w:tcBorders>
              <w:top w:val="nil"/>
              <w:left w:val="nil"/>
              <w:bottom w:val="single" w:sz="5" w:space="0" w:color="005B52"/>
              <w:right w:val="single" w:sz="5" w:space="0" w:color="005B52"/>
            </w:tcBorders>
            <w:shd w:val="clear" w:color="auto" w:fill="E2EFDA"/>
            <w:tcMar>
              <w:top w:w="80" w:type="dxa"/>
              <w:left w:w="120" w:type="dxa"/>
              <w:bottom w:w="80" w:type="dxa"/>
              <w:right w:w="120" w:type="dxa"/>
            </w:tcMar>
          </w:tcPr>
          <w:p w14:paraId="0000010B" w14:textId="77777777" w:rsidR="00031725" w:rsidRDefault="00000000">
            <w:pPr>
              <w:spacing w:before="40" w:after="40"/>
              <w:rPr>
                <w:b/>
                <w:bCs/>
                <w:color w:val="375623"/>
                <w:sz w:val="18"/>
                <w:szCs w:val="18"/>
              </w:rPr>
            </w:pPr>
            <w:r>
              <w:rPr>
                <w:b/>
                <w:bCs/>
                <w:color w:val="375623"/>
                <w:sz w:val="18"/>
                <w:szCs w:val="18"/>
              </w:rPr>
              <w:t>Confirmed</w:t>
            </w:r>
          </w:p>
        </w:tc>
      </w:tr>
      <w:tr w:rsidR="00031725" w14:paraId="1140F048" w14:textId="77777777">
        <w:trPr>
          <w:trHeight w:val="1890"/>
        </w:trPr>
        <w:tc>
          <w:tcPr>
            <w:tcW w:w="2385" w:type="dxa"/>
            <w:tcBorders>
              <w:top w:val="nil"/>
              <w:left w:val="single" w:sz="5" w:space="0" w:color="005B52"/>
              <w:bottom w:val="single" w:sz="5" w:space="0" w:color="005B52"/>
              <w:right w:val="single" w:sz="5" w:space="0" w:color="005B52"/>
            </w:tcBorders>
            <w:tcMar>
              <w:top w:w="80" w:type="dxa"/>
              <w:left w:w="120" w:type="dxa"/>
              <w:bottom w:w="80" w:type="dxa"/>
              <w:right w:w="120" w:type="dxa"/>
            </w:tcMar>
          </w:tcPr>
          <w:p w14:paraId="0000010C" w14:textId="77777777" w:rsidR="00031725" w:rsidRDefault="00000000">
            <w:pPr>
              <w:spacing w:before="40" w:after="40"/>
              <w:rPr>
                <w:sz w:val="18"/>
                <w:szCs w:val="18"/>
              </w:rPr>
            </w:pPr>
            <w:r>
              <w:rPr>
                <w:sz w:val="18"/>
                <w:szCs w:val="18"/>
              </w:rPr>
              <w:t>Recommend appropriate open and non-proprietary file formats for a dataset to support long-term accessibility and interoperability</w:t>
            </w:r>
          </w:p>
        </w:tc>
        <w:tc>
          <w:tcPr>
            <w:tcW w:w="1410" w:type="dxa"/>
            <w:tcBorders>
              <w:top w:val="nil"/>
              <w:left w:val="nil"/>
              <w:bottom w:val="single" w:sz="5" w:space="0" w:color="005B52"/>
              <w:right w:val="single" w:sz="5" w:space="0" w:color="005B52"/>
            </w:tcBorders>
            <w:tcMar>
              <w:top w:w="80" w:type="dxa"/>
              <w:left w:w="120" w:type="dxa"/>
              <w:bottom w:w="80" w:type="dxa"/>
              <w:right w:w="120" w:type="dxa"/>
            </w:tcMar>
          </w:tcPr>
          <w:p w14:paraId="0000010D" w14:textId="77777777" w:rsidR="00031725" w:rsidRDefault="00000000">
            <w:pPr>
              <w:spacing w:before="40" w:after="40"/>
              <w:rPr>
                <w:sz w:val="18"/>
                <w:szCs w:val="18"/>
              </w:rPr>
            </w:pPr>
            <w:r>
              <w:rPr>
                <w:sz w:val="18"/>
                <w:szCs w:val="18"/>
              </w:rPr>
              <w:t>Researcher, Data Support Professional</w:t>
            </w:r>
          </w:p>
        </w:tc>
        <w:tc>
          <w:tcPr>
            <w:tcW w:w="2325" w:type="dxa"/>
            <w:tcBorders>
              <w:top w:val="nil"/>
              <w:left w:val="nil"/>
              <w:bottom w:val="single" w:sz="5" w:space="0" w:color="005B52"/>
              <w:right w:val="single" w:sz="5" w:space="0" w:color="005B52"/>
            </w:tcBorders>
            <w:tcMar>
              <w:top w:w="80" w:type="dxa"/>
              <w:left w:w="120" w:type="dxa"/>
              <w:bottom w:w="80" w:type="dxa"/>
              <w:right w:w="120" w:type="dxa"/>
            </w:tcMar>
          </w:tcPr>
          <w:p w14:paraId="0000010E" w14:textId="77777777" w:rsidR="00031725" w:rsidRDefault="00000000">
            <w:pPr>
              <w:spacing w:before="40" w:after="40"/>
              <w:rPr>
                <w:sz w:val="18"/>
                <w:szCs w:val="18"/>
              </w:rPr>
            </w:pPr>
            <w:r>
              <w:rPr>
                <w:sz w:val="18"/>
                <w:szCs w:val="18"/>
              </w:rPr>
              <w:t>Researchers are guided towards open, self-describing formats suitable for sharing and reuse; format recommendations are provided across the data publication workflow</w:t>
            </w:r>
          </w:p>
        </w:tc>
        <w:tc>
          <w:tcPr>
            <w:tcW w:w="1410" w:type="dxa"/>
            <w:tcBorders>
              <w:top w:val="nil"/>
              <w:left w:val="nil"/>
              <w:bottom w:val="single" w:sz="5" w:space="0" w:color="005B52"/>
              <w:right w:val="single" w:sz="5" w:space="0" w:color="005B52"/>
            </w:tcBorders>
            <w:tcMar>
              <w:top w:w="80" w:type="dxa"/>
              <w:left w:w="120" w:type="dxa"/>
              <w:bottom w:w="80" w:type="dxa"/>
              <w:right w:w="120" w:type="dxa"/>
            </w:tcMar>
          </w:tcPr>
          <w:p w14:paraId="0000010F" w14:textId="77777777" w:rsidR="00031725" w:rsidRDefault="00000000">
            <w:pPr>
              <w:spacing w:before="40" w:after="40"/>
              <w:rPr>
                <w:sz w:val="18"/>
                <w:szCs w:val="18"/>
              </w:rPr>
            </w:pPr>
            <w:r>
              <w:rPr>
                <w:sz w:val="18"/>
                <w:szCs w:val="18"/>
              </w:rPr>
              <w:t>Standards, Capacity</w:t>
            </w:r>
          </w:p>
        </w:tc>
        <w:tc>
          <w:tcPr>
            <w:tcW w:w="1485" w:type="dxa"/>
            <w:tcBorders>
              <w:top w:val="nil"/>
              <w:left w:val="nil"/>
              <w:bottom w:val="single" w:sz="5" w:space="0" w:color="005B52"/>
              <w:right w:val="single" w:sz="5" w:space="0" w:color="005B52"/>
            </w:tcBorders>
            <w:shd w:val="clear" w:color="auto" w:fill="E2EFDA"/>
            <w:tcMar>
              <w:top w:w="80" w:type="dxa"/>
              <w:left w:w="120" w:type="dxa"/>
              <w:bottom w:w="80" w:type="dxa"/>
              <w:right w:w="120" w:type="dxa"/>
            </w:tcMar>
          </w:tcPr>
          <w:p w14:paraId="00000110" w14:textId="77777777" w:rsidR="00031725" w:rsidRDefault="00000000">
            <w:pPr>
              <w:spacing w:before="40" w:after="40"/>
              <w:rPr>
                <w:b/>
                <w:bCs/>
                <w:color w:val="375623"/>
                <w:sz w:val="18"/>
                <w:szCs w:val="18"/>
              </w:rPr>
            </w:pPr>
            <w:r>
              <w:rPr>
                <w:b/>
                <w:bCs/>
                <w:color w:val="375623"/>
                <w:sz w:val="18"/>
                <w:szCs w:val="18"/>
              </w:rPr>
              <w:t>Confirmed</w:t>
            </w:r>
          </w:p>
        </w:tc>
      </w:tr>
      <w:tr w:rsidR="00031725" w14:paraId="034EABFD" w14:textId="77777777">
        <w:trPr>
          <w:trHeight w:val="1680"/>
        </w:trPr>
        <w:tc>
          <w:tcPr>
            <w:tcW w:w="2385" w:type="dxa"/>
            <w:tcBorders>
              <w:top w:val="nil"/>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111" w14:textId="77777777" w:rsidR="00031725" w:rsidRDefault="00000000">
            <w:pPr>
              <w:spacing w:before="40" w:after="40"/>
              <w:rPr>
                <w:sz w:val="18"/>
                <w:szCs w:val="18"/>
              </w:rPr>
            </w:pPr>
            <w:r>
              <w:rPr>
                <w:sz w:val="18"/>
                <w:szCs w:val="18"/>
              </w:rPr>
              <w:t>Validate and verify metadata quality against community best practices, recommendations and standards, producing records that support data reuse</w:t>
            </w:r>
          </w:p>
        </w:tc>
        <w:tc>
          <w:tcPr>
            <w:tcW w:w="1410"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12" w14:textId="77777777" w:rsidR="00031725" w:rsidRDefault="00000000">
            <w:pPr>
              <w:spacing w:before="40" w:after="40"/>
              <w:rPr>
                <w:sz w:val="18"/>
                <w:szCs w:val="18"/>
              </w:rPr>
            </w:pPr>
            <w:r>
              <w:rPr>
                <w:sz w:val="18"/>
                <w:szCs w:val="18"/>
              </w:rPr>
              <w:t>Researcher, Institution</w:t>
            </w:r>
          </w:p>
        </w:tc>
        <w:tc>
          <w:tcPr>
            <w:tcW w:w="2325"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13" w14:textId="77777777" w:rsidR="00031725" w:rsidRDefault="00000000">
            <w:pPr>
              <w:spacing w:before="40" w:after="40"/>
              <w:rPr>
                <w:sz w:val="18"/>
                <w:szCs w:val="18"/>
              </w:rPr>
            </w:pPr>
            <w:r>
              <w:rPr>
                <w:sz w:val="18"/>
                <w:szCs w:val="18"/>
              </w:rPr>
              <w:t>Harmonised, machine-interpretable metadata records that meet applicable community best practices and recommendations and support data reuse</w:t>
            </w:r>
          </w:p>
        </w:tc>
        <w:tc>
          <w:tcPr>
            <w:tcW w:w="1410"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14" w14:textId="77777777" w:rsidR="00031725" w:rsidRDefault="00000000">
            <w:pPr>
              <w:spacing w:before="40" w:after="40"/>
              <w:rPr>
                <w:sz w:val="18"/>
                <w:szCs w:val="18"/>
              </w:rPr>
            </w:pPr>
            <w:r>
              <w:rPr>
                <w:sz w:val="18"/>
                <w:szCs w:val="18"/>
              </w:rPr>
              <w:t>Capacity, Standards, Quality and Provenance</w:t>
            </w:r>
          </w:p>
        </w:tc>
        <w:tc>
          <w:tcPr>
            <w:tcW w:w="1485" w:type="dxa"/>
            <w:tcBorders>
              <w:top w:val="nil"/>
              <w:left w:val="nil"/>
              <w:bottom w:val="single" w:sz="5" w:space="0" w:color="005B52"/>
              <w:right w:val="single" w:sz="5" w:space="0" w:color="005B52"/>
            </w:tcBorders>
            <w:shd w:val="clear" w:color="auto" w:fill="E2EFDA"/>
            <w:tcMar>
              <w:top w:w="80" w:type="dxa"/>
              <w:left w:w="120" w:type="dxa"/>
              <w:bottom w:w="80" w:type="dxa"/>
              <w:right w:w="120" w:type="dxa"/>
            </w:tcMar>
          </w:tcPr>
          <w:p w14:paraId="00000115" w14:textId="77777777" w:rsidR="00031725" w:rsidRDefault="00000000">
            <w:pPr>
              <w:spacing w:before="40" w:after="40"/>
              <w:rPr>
                <w:b/>
                <w:bCs/>
                <w:color w:val="375623"/>
                <w:sz w:val="18"/>
                <w:szCs w:val="18"/>
              </w:rPr>
            </w:pPr>
            <w:r>
              <w:rPr>
                <w:b/>
                <w:bCs/>
                <w:color w:val="375623"/>
                <w:sz w:val="18"/>
                <w:szCs w:val="18"/>
              </w:rPr>
              <w:t>Confirmed</w:t>
            </w:r>
          </w:p>
        </w:tc>
      </w:tr>
      <w:tr w:rsidR="00031725" w14:paraId="7C28B45D" w14:textId="77777777">
        <w:trPr>
          <w:trHeight w:val="1275"/>
        </w:trPr>
        <w:tc>
          <w:tcPr>
            <w:tcW w:w="2385" w:type="dxa"/>
            <w:tcBorders>
              <w:top w:val="nil"/>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116" w14:textId="77777777" w:rsidR="00031725" w:rsidRDefault="00000000">
            <w:pPr>
              <w:spacing w:before="40" w:after="40"/>
              <w:rPr>
                <w:sz w:val="18"/>
                <w:szCs w:val="18"/>
              </w:rPr>
            </w:pPr>
            <w:r>
              <w:rPr>
                <w:sz w:val="18"/>
                <w:szCs w:val="18"/>
              </w:rPr>
              <w:t>Draft and review data documentation, including READMEs and data dictionaries, across the data publication workflow</w:t>
            </w:r>
          </w:p>
        </w:tc>
        <w:tc>
          <w:tcPr>
            <w:tcW w:w="1410"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17" w14:textId="77777777" w:rsidR="00031725" w:rsidRDefault="00000000">
            <w:pPr>
              <w:spacing w:before="40" w:after="40"/>
              <w:rPr>
                <w:sz w:val="18"/>
                <w:szCs w:val="18"/>
              </w:rPr>
            </w:pPr>
            <w:r>
              <w:rPr>
                <w:sz w:val="18"/>
                <w:szCs w:val="18"/>
              </w:rPr>
              <w:t>Researcher, Data Support Professional</w:t>
            </w:r>
          </w:p>
        </w:tc>
        <w:tc>
          <w:tcPr>
            <w:tcW w:w="2325"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18" w14:textId="77777777" w:rsidR="00031725" w:rsidRDefault="00000000">
            <w:pPr>
              <w:spacing w:before="40" w:after="40"/>
              <w:rPr>
                <w:sz w:val="18"/>
                <w:szCs w:val="18"/>
              </w:rPr>
            </w:pPr>
            <w:r>
              <w:rPr>
                <w:sz w:val="18"/>
                <w:szCs w:val="18"/>
              </w:rPr>
              <w:t>Clear documentation that enables others to understand and reuse the data</w:t>
            </w:r>
          </w:p>
        </w:tc>
        <w:tc>
          <w:tcPr>
            <w:tcW w:w="1410"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19" w14:textId="77777777" w:rsidR="00031725" w:rsidRDefault="00000000">
            <w:pPr>
              <w:spacing w:before="40" w:after="40"/>
              <w:rPr>
                <w:sz w:val="18"/>
                <w:szCs w:val="18"/>
              </w:rPr>
            </w:pPr>
            <w:r>
              <w:rPr>
                <w:sz w:val="18"/>
                <w:szCs w:val="18"/>
              </w:rPr>
              <w:t>Capacity, Support</w:t>
            </w:r>
          </w:p>
        </w:tc>
        <w:tc>
          <w:tcPr>
            <w:tcW w:w="1485" w:type="dxa"/>
            <w:tcBorders>
              <w:top w:val="nil"/>
              <w:left w:val="nil"/>
              <w:bottom w:val="single" w:sz="5" w:space="0" w:color="005B52"/>
              <w:right w:val="single" w:sz="5" w:space="0" w:color="005B52"/>
            </w:tcBorders>
            <w:shd w:val="clear" w:color="auto" w:fill="E2EFDA"/>
            <w:tcMar>
              <w:top w:w="80" w:type="dxa"/>
              <w:left w:w="120" w:type="dxa"/>
              <w:bottom w:w="80" w:type="dxa"/>
              <w:right w:w="120" w:type="dxa"/>
            </w:tcMar>
          </w:tcPr>
          <w:p w14:paraId="0000011A" w14:textId="77777777" w:rsidR="00031725" w:rsidRDefault="00000000">
            <w:pPr>
              <w:spacing w:before="40" w:after="40"/>
              <w:rPr>
                <w:b/>
                <w:bCs/>
                <w:color w:val="375623"/>
                <w:sz w:val="18"/>
                <w:szCs w:val="18"/>
              </w:rPr>
            </w:pPr>
            <w:r>
              <w:rPr>
                <w:b/>
                <w:bCs/>
                <w:color w:val="375623"/>
                <w:sz w:val="18"/>
                <w:szCs w:val="18"/>
              </w:rPr>
              <w:t>Confirmed</w:t>
            </w:r>
          </w:p>
        </w:tc>
      </w:tr>
      <w:tr w:rsidR="00031725" w14:paraId="409C617A" w14:textId="77777777">
        <w:trPr>
          <w:trHeight w:val="2085"/>
        </w:trPr>
        <w:tc>
          <w:tcPr>
            <w:tcW w:w="2385" w:type="dxa"/>
            <w:tcBorders>
              <w:top w:val="nil"/>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11B" w14:textId="77777777" w:rsidR="00031725" w:rsidRDefault="00000000">
            <w:pPr>
              <w:spacing w:before="40" w:after="40"/>
              <w:rPr>
                <w:sz w:val="18"/>
                <w:szCs w:val="18"/>
              </w:rPr>
            </w:pPr>
            <w:r>
              <w:rPr>
                <w:sz w:val="18"/>
                <w:szCs w:val="18"/>
              </w:rPr>
              <w:t>Map metadata across multiple schemas so the same dataset can be described in more than one standard, enabling deposit across different repositories without manual remapping</w:t>
            </w:r>
          </w:p>
        </w:tc>
        <w:tc>
          <w:tcPr>
            <w:tcW w:w="1410"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1C" w14:textId="77777777" w:rsidR="00031725" w:rsidRDefault="00000000">
            <w:pPr>
              <w:spacing w:before="40" w:after="40"/>
              <w:rPr>
                <w:sz w:val="18"/>
                <w:szCs w:val="18"/>
              </w:rPr>
            </w:pPr>
            <w:r>
              <w:rPr>
                <w:sz w:val="18"/>
                <w:szCs w:val="18"/>
              </w:rPr>
              <w:t>Researcher, Data Support Professional</w:t>
            </w:r>
          </w:p>
        </w:tc>
        <w:tc>
          <w:tcPr>
            <w:tcW w:w="2325"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1D" w14:textId="77777777" w:rsidR="00031725" w:rsidRDefault="00000000">
            <w:pPr>
              <w:spacing w:before="40" w:after="40"/>
              <w:rPr>
                <w:sz w:val="18"/>
                <w:szCs w:val="18"/>
              </w:rPr>
            </w:pPr>
            <w:r>
              <w:rPr>
                <w:sz w:val="18"/>
                <w:szCs w:val="18"/>
              </w:rPr>
              <w:t>Metadata is expressed in multiple schema formats simultaneously, reducing barriers to deposit across different repositories and improving interoperability without requiring the researcher to manually remap their record</w:t>
            </w:r>
          </w:p>
        </w:tc>
        <w:tc>
          <w:tcPr>
            <w:tcW w:w="1410"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1E" w14:textId="77777777" w:rsidR="00031725" w:rsidRDefault="00000000">
            <w:pPr>
              <w:spacing w:before="40" w:after="40"/>
              <w:rPr>
                <w:sz w:val="18"/>
                <w:szCs w:val="18"/>
              </w:rPr>
            </w:pPr>
            <w:r>
              <w:rPr>
                <w:sz w:val="18"/>
                <w:szCs w:val="18"/>
              </w:rPr>
              <w:t>Standards, Capacity</w:t>
            </w:r>
          </w:p>
        </w:tc>
        <w:tc>
          <w:tcPr>
            <w:tcW w:w="1485" w:type="dxa"/>
            <w:tcBorders>
              <w:top w:val="nil"/>
              <w:left w:val="nil"/>
              <w:bottom w:val="single" w:sz="5" w:space="0" w:color="005B52"/>
              <w:right w:val="single" w:sz="5" w:space="0" w:color="005B52"/>
            </w:tcBorders>
            <w:shd w:val="clear" w:color="auto" w:fill="E2EFDA"/>
            <w:tcMar>
              <w:top w:w="80" w:type="dxa"/>
              <w:left w:w="120" w:type="dxa"/>
              <w:bottom w:w="80" w:type="dxa"/>
              <w:right w:w="120" w:type="dxa"/>
            </w:tcMar>
          </w:tcPr>
          <w:p w14:paraId="0000011F" w14:textId="77777777" w:rsidR="00031725" w:rsidRDefault="00000000">
            <w:pPr>
              <w:spacing w:before="40" w:after="40"/>
              <w:rPr>
                <w:b/>
                <w:bCs/>
                <w:color w:val="375623"/>
                <w:sz w:val="18"/>
                <w:szCs w:val="18"/>
              </w:rPr>
            </w:pPr>
            <w:r>
              <w:rPr>
                <w:b/>
                <w:bCs/>
                <w:color w:val="375623"/>
                <w:sz w:val="18"/>
                <w:szCs w:val="18"/>
              </w:rPr>
              <w:t>Confirmed</w:t>
            </w:r>
          </w:p>
        </w:tc>
      </w:tr>
      <w:tr w:rsidR="00031725" w14:paraId="4A54624E" w14:textId="77777777">
        <w:trPr>
          <w:trHeight w:val="1470"/>
        </w:trPr>
        <w:tc>
          <w:tcPr>
            <w:tcW w:w="2385" w:type="dxa"/>
            <w:tcBorders>
              <w:top w:val="nil"/>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120" w14:textId="77777777" w:rsidR="00031725" w:rsidRDefault="00000000">
            <w:pPr>
              <w:spacing w:before="40" w:after="40"/>
              <w:rPr>
                <w:sz w:val="18"/>
                <w:szCs w:val="18"/>
              </w:rPr>
            </w:pPr>
            <w:r>
              <w:rPr>
                <w:sz w:val="18"/>
                <w:szCs w:val="18"/>
              </w:rPr>
              <w:t>Enable consistent, reusable metadata across institutions and between different deployments of the Data Director, so data created in one system can be understood and used in another</w:t>
            </w:r>
          </w:p>
        </w:tc>
        <w:tc>
          <w:tcPr>
            <w:tcW w:w="1410"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21" w14:textId="77777777" w:rsidR="00031725" w:rsidRDefault="00000000">
            <w:pPr>
              <w:spacing w:before="40" w:after="40"/>
              <w:rPr>
                <w:sz w:val="18"/>
                <w:szCs w:val="18"/>
              </w:rPr>
            </w:pPr>
            <w:r>
              <w:rPr>
                <w:sz w:val="18"/>
                <w:szCs w:val="18"/>
              </w:rPr>
              <w:t>Researcher, Data Support Professional</w:t>
            </w:r>
          </w:p>
        </w:tc>
        <w:tc>
          <w:tcPr>
            <w:tcW w:w="2325"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22" w14:textId="77777777" w:rsidR="00031725" w:rsidRDefault="00000000">
            <w:pPr>
              <w:spacing w:before="40" w:after="40"/>
              <w:rPr>
                <w:sz w:val="18"/>
                <w:szCs w:val="18"/>
              </w:rPr>
            </w:pPr>
            <w:r>
              <w:rPr>
                <w:sz w:val="18"/>
                <w:szCs w:val="18"/>
              </w:rPr>
              <w:t>Existing metadata formats and schemas are reused; less data wrangling; easier interpretation of data across systems</w:t>
            </w:r>
          </w:p>
        </w:tc>
        <w:tc>
          <w:tcPr>
            <w:tcW w:w="1410"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23" w14:textId="77777777" w:rsidR="00031725" w:rsidRDefault="00000000">
            <w:pPr>
              <w:spacing w:before="40" w:after="40"/>
              <w:rPr>
                <w:sz w:val="18"/>
                <w:szCs w:val="18"/>
              </w:rPr>
            </w:pPr>
            <w:r>
              <w:rPr>
                <w:sz w:val="18"/>
                <w:szCs w:val="18"/>
              </w:rPr>
              <w:t>Standards, Capacity</w:t>
            </w:r>
          </w:p>
        </w:tc>
        <w:tc>
          <w:tcPr>
            <w:tcW w:w="1485" w:type="dxa"/>
            <w:tcBorders>
              <w:top w:val="nil"/>
              <w:left w:val="nil"/>
              <w:bottom w:val="single" w:sz="5" w:space="0" w:color="005B52"/>
              <w:right w:val="single" w:sz="5" w:space="0" w:color="005B52"/>
            </w:tcBorders>
            <w:shd w:val="clear" w:color="auto" w:fill="E2EFDA"/>
            <w:tcMar>
              <w:top w:w="80" w:type="dxa"/>
              <w:left w:w="120" w:type="dxa"/>
              <w:bottom w:w="80" w:type="dxa"/>
              <w:right w:w="120" w:type="dxa"/>
            </w:tcMar>
          </w:tcPr>
          <w:p w14:paraId="00000124" w14:textId="77777777" w:rsidR="00031725" w:rsidRDefault="00000000">
            <w:pPr>
              <w:spacing w:before="40" w:after="40"/>
              <w:rPr>
                <w:b/>
                <w:bCs/>
                <w:color w:val="375623"/>
                <w:sz w:val="18"/>
                <w:szCs w:val="18"/>
              </w:rPr>
            </w:pPr>
            <w:r>
              <w:rPr>
                <w:b/>
                <w:bCs/>
                <w:color w:val="375623"/>
                <w:sz w:val="18"/>
                <w:szCs w:val="18"/>
              </w:rPr>
              <w:t>Confirmed</w:t>
            </w:r>
          </w:p>
        </w:tc>
      </w:tr>
      <w:tr w:rsidR="00031725" w14:paraId="224C3423" w14:textId="77777777">
        <w:trPr>
          <w:trHeight w:val="2085"/>
        </w:trPr>
        <w:tc>
          <w:tcPr>
            <w:tcW w:w="2385" w:type="dxa"/>
            <w:tcBorders>
              <w:top w:val="nil"/>
              <w:left w:val="single" w:sz="5" w:space="0" w:color="005B52"/>
              <w:bottom w:val="single" w:sz="5" w:space="0" w:color="005B52"/>
              <w:right w:val="single" w:sz="5" w:space="0" w:color="005B52"/>
            </w:tcBorders>
            <w:tcMar>
              <w:top w:w="80" w:type="dxa"/>
              <w:left w:w="120" w:type="dxa"/>
              <w:bottom w:w="80" w:type="dxa"/>
              <w:right w:w="120" w:type="dxa"/>
            </w:tcMar>
          </w:tcPr>
          <w:p w14:paraId="00000125" w14:textId="77777777" w:rsidR="00031725" w:rsidRDefault="00000000">
            <w:pPr>
              <w:spacing w:before="40" w:after="40"/>
              <w:rPr>
                <w:sz w:val="18"/>
                <w:szCs w:val="18"/>
              </w:rPr>
            </w:pPr>
            <w:r>
              <w:rPr>
                <w:sz w:val="18"/>
                <w:szCs w:val="18"/>
              </w:rPr>
              <w:lastRenderedPageBreak/>
              <w:t>Detect and flag information in datasets that could identify individuals, either directly or indirectly, before publication</w:t>
            </w:r>
          </w:p>
        </w:tc>
        <w:tc>
          <w:tcPr>
            <w:tcW w:w="1410" w:type="dxa"/>
            <w:tcBorders>
              <w:top w:val="nil"/>
              <w:left w:val="nil"/>
              <w:bottom w:val="single" w:sz="5" w:space="0" w:color="005B52"/>
              <w:right w:val="single" w:sz="5" w:space="0" w:color="005B52"/>
            </w:tcBorders>
            <w:tcMar>
              <w:top w:w="80" w:type="dxa"/>
              <w:left w:w="120" w:type="dxa"/>
              <w:bottom w:w="80" w:type="dxa"/>
              <w:right w:w="120" w:type="dxa"/>
            </w:tcMar>
          </w:tcPr>
          <w:p w14:paraId="00000126" w14:textId="77777777" w:rsidR="00031725" w:rsidRDefault="00000000">
            <w:pPr>
              <w:spacing w:before="40" w:after="40"/>
              <w:rPr>
                <w:sz w:val="18"/>
                <w:szCs w:val="18"/>
              </w:rPr>
            </w:pPr>
            <w:r>
              <w:rPr>
                <w:sz w:val="18"/>
                <w:szCs w:val="18"/>
              </w:rPr>
              <w:t>Researcher, Data Support Professional</w:t>
            </w:r>
          </w:p>
        </w:tc>
        <w:tc>
          <w:tcPr>
            <w:tcW w:w="2325" w:type="dxa"/>
            <w:tcBorders>
              <w:top w:val="nil"/>
              <w:left w:val="nil"/>
              <w:bottom w:val="single" w:sz="5" w:space="0" w:color="005B52"/>
              <w:right w:val="single" w:sz="5" w:space="0" w:color="005B52"/>
            </w:tcBorders>
            <w:tcMar>
              <w:top w:w="80" w:type="dxa"/>
              <w:left w:w="120" w:type="dxa"/>
              <w:bottom w:w="80" w:type="dxa"/>
              <w:right w:w="120" w:type="dxa"/>
            </w:tcMar>
          </w:tcPr>
          <w:p w14:paraId="00000127" w14:textId="77777777" w:rsidR="00031725" w:rsidRDefault="00000000">
            <w:pPr>
              <w:spacing w:before="40" w:after="40"/>
              <w:rPr>
                <w:sz w:val="18"/>
                <w:szCs w:val="18"/>
              </w:rPr>
            </w:pPr>
            <w:r>
              <w:rPr>
                <w:sz w:val="18"/>
                <w:szCs w:val="18"/>
              </w:rPr>
              <w:t>Potential identifiers are flagged before the publication workflow proceeds; the researcher is alerted and guided on appropriate next steps; the tool does not attempt anonymisation or deidentification autonomously</w:t>
            </w:r>
          </w:p>
        </w:tc>
        <w:tc>
          <w:tcPr>
            <w:tcW w:w="1410" w:type="dxa"/>
            <w:tcBorders>
              <w:top w:val="nil"/>
              <w:left w:val="nil"/>
              <w:bottom w:val="single" w:sz="5" w:space="0" w:color="005B52"/>
              <w:right w:val="single" w:sz="5" w:space="0" w:color="005B52"/>
            </w:tcBorders>
            <w:tcMar>
              <w:top w:w="80" w:type="dxa"/>
              <w:left w:w="120" w:type="dxa"/>
              <w:bottom w:w="80" w:type="dxa"/>
              <w:right w:w="120" w:type="dxa"/>
            </w:tcMar>
          </w:tcPr>
          <w:p w14:paraId="00000128" w14:textId="77777777" w:rsidR="00031725" w:rsidRDefault="00000000">
            <w:pPr>
              <w:spacing w:before="40" w:after="40"/>
              <w:rPr>
                <w:sz w:val="18"/>
                <w:szCs w:val="18"/>
              </w:rPr>
            </w:pPr>
            <w:r>
              <w:rPr>
                <w:sz w:val="18"/>
                <w:szCs w:val="18"/>
              </w:rPr>
              <w:t>Governance, Policy</w:t>
            </w:r>
          </w:p>
        </w:tc>
        <w:tc>
          <w:tcPr>
            <w:tcW w:w="1485" w:type="dxa"/>
            <w:tcBorders>
              <w:top w:val="nil"/>
              <w:left w:val="nil"/>
              <w:bottom w:val="single" w:sz="5" w:space="0" w:color="005B52"/>
              <w:right w:val="single" w:sz="5" w:space="0" w:color="005B52"/>
            </w:tcBorders>
            <w:shd w:val="clear" w:color="auto" w:fill="FFF8E6"/>
            <w:tcMar>
              <w:top w:w="80" w:type="dxa"/>
              <w:left w:w="120" w:type="dxa"/>
              <w:bottom w:w="80" w:type="dxa"/>
              <w:right w:w="120" w:type="dxa"/>
            </w:tcMar>
          </w:tcPr>
          <w:p w14:paraId="00000129" w14:textId="77777777" w:rsidR="00031725" w:rsidRDefault="00000000">
            <w:pPr>
              <w:spacing w:before="40" w:after="40"/>
              <w:rPr>
                <w:b/>
                <w:bCs/>
                <w:color w:val="7F6000"/>
                <w:sz w:val="18"/>
                <w:szCs w:val="18"/>
              </w:rPr>
            </w:pPr>
            <w:r>
              <w:rPr>
                <w:b/>
                <w:bCs/>
                <w:color w:val="7F6000"/>
                <w:sz w:val="18"/>
                <w:szCs w:val="18"/>
              </w:rPr>
              <w:t>Future Consideration</w:t>
            </w:r>
          </w:p>
        </w:tc>
      </w:tr>
      <w:tr w:rsidR="00031725" w14:paraId="6078E879" w14:textId="77777777">
        <w:trPr>
          <w:trHeight w:val="1890"/>
        </w:trPr>
        <w:tc>
          <w:tcPr>
            <w:tcW w:w="2385" w:type="dxa"/>
            <w:tcBorders>
              <w:top w:val="nil"/>
              <w:left w:val="single" w:sz="5" w:space="0" w:color="005B52"/>
              <w:bottom w:val="single" w:sz="5" w:space="0" w:color="005B52"/>
              <w:right w:val="single" w:sz="5" w:space="0" w:color="005B52"/>
            </w:tcBorders>
            <w:tcMar>
              <w:top w:w="80" w:type="dxa"/>
              <w:left w:w="120" w:type="dxa"/>
              <w:bottom w:w="80" w:type="dxa"/>
              <w:right w:w="120" w:type="dxa"/>
            </w:tcMar>
          </w:tcPr>
          <w:p w14:paraId="0000012A" w14:textId="77777777" w:rsidR="00031725" w:rsidRDefault="00000000">
            <w:pPr>
              <w:spacing w:before="40" w:after="40"/>
              <w:rPr>
                <w:sz w:val="18"/>
                <w:szCs w:val="18"/>
              </w:rPr>
            </w:pPr>
            <w:r>
              <w:rPr>
                <w:sz w:val="18"/>
                <w:szCs w:val="18"/>
              </w:rPr>
              <w:t>Check that variables use correct and consistent terminology to support future meta-analysis and data reuse</w:t>
            </w:r>
          </w:p>
        </w:tc>
        <w:tc>
          <w:tcPr>
            <w:tcW w:w="1410" w:type="dxa"/>
            <w:tcBorders>
              <w:top w:val="nil"/>
              <w:left w:val="nil"/>
              <w:bottom w:val="single" w:sz="5" w:space="0" w:color="005B52"/>
              <w:right w:val="single" w:sz="5" w:space="0" w:color="005B52"/>
            </w:tcBorders>
            <w:tcMar>
              <w:top w:w="80" w:type="dxa"/>
              <w:left w:w="120" w:type="dxa"/>
              <w:bottom w:w="80" w:type="dxa"/>
              <w:right w:w="120" w:type="dxa"/>
            </w:tcMar>
          </w:tcPr>
          <w:p w14:paraId="0000012B" w14:textId="77777777" w:rsidR="00031725" w:rsidRDefault="00000000">
            <w:pPr>
              <w:spacing w:before="40" w:after="40"/>
              <w:rPr>
                <w:sz w:val="18"/>
                <w:szCs w:val="18"/>
              </w:rPr>
            </w:pPr>
            <w:r>
              <w:rPr>
                <w:sz w:val="18"/>
                <w:szCs w:val="18"/>
              </w:rPr>
              <w:t>Researcher, Data Support Professional</w:t>
            </w:r>
          </w:p>
        </w:tc>
        <w:tc>
          <w:tcPr>
            <w:tcW w:w="2325" w:type="dxa"/>
            <w:tcBorders>
              <w:top w:val="nil"/>
              <w:left w:val="nil"/>
              <w:bottom w:val="single" w:sz="5" w:space="0" w:color="005B52"/>
              <w:right w:val="single" w:sz="5" w:space="0" w:color="005B52"/>
            </w:tcBorders>
            <w:tcMar>
              <w:top w:w="80" w:type="dxa"/>
              <w:left w:w="120" w:type="dxa"/>
              <w:bottom w:w="80" w:type="dxa"/>
              <w:right w:w="120" w:type="dxa"/>
            </w:tcMar>
          </w:tcPr>
          <w:p w14:paraId="0000012C" w14:textId="77777777" w:rsidR="00031725" w:rsidRDefault="00000000">
            <w:pPr>
              <w:spacing w:before="40" w:after="40"/>
              <w:rPr>
                <w:sz w:val="18"/>
                <w:szCs w:val="18"/>
              </w:rPr>
            </w:pPr>
            <w:r>
              <w:rPr>
                <w:sz w:val="18"/>
                <w:szCs w:val="18"/>
              </w:rPr>
              <w:t>Variable terminology is flagged where it may affect interoperability or reuse; researchers are guided towards community-agreed definitions</w:t>
            </w:r>
          </w:p>
        </w:tc>
        <w:tc>
          <w:tcPr>
            <w:tcW w:w="1410" w:type="dxa"/>
            <w:tcBorders>
              <w:top w:val="nil"/>
              <w:left w:val="nil"/>
              <w:bottom w:val="single" w:sz="5" w:space="0" w:color="005B52"/>
              <w:right w:val="single" w:sz="5" w:space="0" w:color="005B52"/>
            </w:tcBorders>
            <w:tcMar>
              <w:top w:w="80" w:type="dxa"/>
              <w:left w:w="120" w:type="dxa"/>
              <w:bottom w:w="80" w:type="dxa"/>
              <w:right w:w="120" w:type="dxa"/>
            </w:tcMar>
          </w:tcPr>
          <w:p w14:paraId="0000012D" w14:textId="77777777" w:rsidR="00031725" w:rsidRDefault="00000000">
            <w:pPr>
              <w:spacing w:before="40" w:after="40"/>
              <w:rPr>
                <w:sz w:val="18"/>
                <w:szCs w:val="18"/>
              </w:rPr>
            </w:pPr>
            <w:r>
              <w:rPr>
                <w:sz w:val="18"/>
                <w:szCs w:val="18"/>
              </w:rPr>
              <w:t>Standards, Capacity</w:t>
            </w:r>
          </w:p>
        </w:tc>
        <w:tc>
          <w:tcPr>
            <w:tcW w:w="1485" w:type="dxa"/>
            <w:tcBorders>
              <w:top w:val="nil"/>
              <w:left w:val="nil"/>
              <w:bottom w:val="single" w:sz="5" w:space="0" w:color="005B52"/>
              <w:right w:val="single" w:sz="5" w:space="0" w:color="005B52"/>
            </w:tcBorders>
            <w:shd w:val="clear" w:color="auto" w:fill="FFF8E6"/>
            <w:tcMar>
              <w:top w:w="80" w:type="dxa"/>
              <w:left w:w="120" w:type="dxa"/>
              <w:bottom w:w="80" w:type="dxa"/>
              <w:right w:w="120" w:type="dxa"/>
            </w:tcMar>
          </w:tcPr>
          <w:p w14:paraId="0000012E" w14:textId="77777777" w:rsidR="00031725" w:rsidRDefault="00000000">
            <w:pPr>
              <w:spacing w:before="40" w:after="40"/>
              <w:rPr>
                <w:b/>
                <w:bCs/>
                <w:color w:val="7F6000"/>
                <w:sz w:val="18"/>
                <w:szCs w:val="18"/>
              </w:rPr>
            </w:pPr>
            <w:r>
              <w:rPr>
                <w:b/>
                <w:bCs/>
                <w:color w:val="7F6000"/>
                <w:sz w:val="18"/>
                <w:szCs w:val="18"/>
              </w:rPr>
              <w:t>Future Consideration</w:t>
            </w:r>
          </w:p>
        </w:tc>
      </w:tr>
      <w:tr w:rsidR="00031725" w14:paraId="197B47EB" w14:textId="77777777">
        <w:trPr>
          <w:trHeight w:val="2340"/>
        </w:trPr>
        <w:tc>
          <w:tcPr>
            <w:tcW w:w="2385" w:type="dxa"/>
            <w:tcBorders>
              <w:top w:val="nil"/>
              <w:left w:val="single" w:sz="5" w:space="0" w:color="005B52"/>
              <w:bottom w:val="single" w:sz="5" w:space="0" w:color="005B52"/>
              <w:right w:val="single" w:sz="5" w:space="0" w:color="005B52"/>
            </w:tcBorders>
            <w:tcMar>
              <w:top w:w="80" w:type="dxa"/>
              <w:left w:w="120" w:type="dxa"/>
              <w:bottom w:w="80" w:type="dxa"/>
              <w:right w:w="120" w:type="dxa"/>
            </w:tcMar>
          </w:tcPr>
          <w:p w14:paraId="0000012F" w14:textId="77777777" w:rsidR="00031725" w:rsidRDefault="00000000">
            <w:pPr>
              <w:spacing w:before="40" w:after="40"/>
              <w:rPr>
                <w:sz w:val="18"/>
                <w:szCs w:val="18"/>
              </w:rPr>
            </w:pPr>
            <w:r>
              <w:rPr>
                <w:sz w:val="18"/>
                <w:szCs w:val="18"/>
              </w:rPr>
              <w:t>Generate or assist with Model Cards or Dataset Cards for machine learning research datasets</w:t>
            </w:r>
          </w:p>
        </w:tc>
        <w:tc>
          <w:tcPr>
            <w:tcW w:w="1410" w:type="dxa"/>
            <w:tcBorders>
              <w:top w:val="nil"/>
              <w:left w:val="nil"/>
              <w:bottom w:val="single" w:sz="5" w:space="0" w:color="005B52"/>
              <w:right w:val="single" w:sz="5" w:space="0" w:color="005B52"/>
            </w:tcBorders>
            <w:tcMar>
              <w:top w:w="80" w:type="dxa"/>
              <w:left w:w="120" w:type="dxa"/>
              <w:bottom w:w="80" w:type="dxa"/>
              <w:right w:w="120" w:type="dxa"/>
            </w:tcMar>
          </w:tcPr>
          <w:p w14:paraId="00000130" w14:textId="77777777" w:rsidR="00031725" w:rsidRDefault="00000000">
            <w:pPr>
              <w:spacing w:before="40" w:after="40"/>
              <w:rPr>
                <w:sz w:val="18"/>
                <w:szCs w:val="18"/>
              </w:rPr>
            </w:pPr>
            <w:r>
              <w:rPr>
                <w:sz w:val="18"/>
                <w:szCs w:val="18"/>
              </w:rPr>
              <w:t>Researcher, Data Support Professional</w:t>
            </w:r>
          </w:p>
        </w:tc>
        <w:tc>
          <w:tcPr>
            <w:tcW w:w="2325" w:type="dxa"/>
            <w:tcBorders>
              <w:top w:val="nil"/>
              <w:left w:val="nil"/>
              <w:bottom w:val="single" w:sz="5" w:space="0" w:color="005B52"/>
              <w:right w:val="single" w:sz="5" w:space="0" w:color="005B52"/>
            </w:tcBorders>
            <w:tcMar>
              <w:top w:w="80" w:type="dxa"/>
              <w:left w:w="120" w:type="dxa"/>
              <w:bottom w:w="80" w:type="dxa"/>
              <w:right w:w="120" w:type="dxa"/>
            </w:tcMar>
          </w:tcPr>
          <w:p w14:paraId="00000131" w14:textId="77777777" w:rsidR="00031725" w:rsidRDefault="00000000">
            <w:pPr>
              <w:spacing w:before="40" w:after="40"/>
              <w:rPr>
                <w:sz w:val="18"/>
                <w:szCs w:val="18"/>
              </w:rPr>
            </w:pPr>
            <w:r>
              <w:rPr>
                <w:sz w:val="18"/>
                <w:szCs w:val="18"/>
              </w:rPr>
              <w:t>A structured Model Card or Dataset Card is produced for machine learning datasets, improving transparency and reusability. Note: this use applies specifically to machine learning datasets</w:t>
            </w:r>
          </w:p>
        </w:tc>
        <w:tc>
          <w:tcPr>
            <w:tcW w:w="1410" w:type="dxa"/>
            <w:tcBorders>
              <w:top w:val="nil"/>
              <w:left w:val="nil"/>
              <w:bottom w:val="single" w:sz="5" w:space="0" w:color="005B52"/>
              <w:right w:val="single" w:sz="5" w:space="0" w:color="005B52"/>
            </w:tcBorders>
            <w:tcMar>
              <w:top w:w="80" w:type="dxa"/>
              <w:left w:w="120" w:type="dxa"/>
              <w:bottom w:w="80" w:type="dxa"/>
              <w:right w:w="120" w:type="dxa"/>
            </w:tcMar>
          </w:tcPr>
          <w:p w14:paraId="00000132" w14:textId="77777777" w:rsidR="00031725" w:rsidRDefault="00000000">
            <w:pPr>
              <w:spacing w:before="40" w:after="40"/>
              <w:rPr>
                <w:sz w:val="18"/>
                <w:szCs w:val="18"/>
              </w:rPr>
            </w:pPr>
            <w:r>
              <w:rPr>
                <w:sz w:val="18"/>
                <w:szCs w:val="18"/>
              </w:rPr>
              <w:t>Capacity, Standards</w:t>
            </w:r>
          </w:p>
        </w:tc>
        <w:tc>
          <w:tcPr>
            <w:tcW w:w="1485" w:type="dxa"/>
            <w:tcBorders>
              <w:top w:val="nil"/>
              <w:left w:val="nil"/>
              <w:bottom w:val="single" w:sz="5" w:space="0" w:color="005B52"/>
              <w:right w:val="single" w:sz="5" w:space="0" w:color="005B52"/>
            </w:tcBorders>
            <w:shd w:val="clear" w:color="auto" w:fill="FFF8E6"/>
            <w:tcMar>
              <w:top w:w="80" w:type="dxa"/>
              <w:left w:w="120" w:type="dxa"/>
              <w:bottom w:w="80" w:type="dxa"/>
              <w:right w:w="120" w:type="dxa"/>
            </w:tcMar>
          </w:tcPr>
          <w:p w14:paraId="00000133" w14:textId="77777777" w:rsidR="00031725" w:rsidRDefault="00000000">
            <w:pPr>
              <w:spacing w:before="40" w:after="40"/>
              <w:rPr>
                <w:b/>
                <w:bCs/>
                <w:color w:val="7F6000"/>
                <w:sz w:val="18"/>
                <w:szCs w:val="18"/>
              </w:rPr>
            </w:pPr>
            <w:r>
              <w:rPr>
                <w:b/>
                <w:bCs/>
                <w:color w:val="7F6000"/>
                <w:sz w:val="18"/>
                <w:szCs w:val="18"/>
              </w:rPr>
              <w:t>Future Consideration</w:t>
            </w:r>
          </w:p>
        </w:tc>
      </w:tr>
      <w:tr w:rsidR="00031725" w14:paraId="2982D3AC" w14:textId="77777777">
        <w:trPr>
          <w:trHeight w:val="1275"/>
        </w:trPr>
        <w:tc>
          <w:tcPr>
            <w:tcW w:w="2385" w:type="dxa"/>
            <w:tcBorders>
              <w:top w:val="nil"/>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134" w14:textId="77777777" w:rsidR="00031725" w:rsidRDefault="00000000">
            <w:pPr>
              <w:spacing w:before="40" w:after="40"/>
              <w:rPr>
                <w:sz w:val="18"/>
                <w:szCs w:val="18"/>
              </w:rPr>
            </w:pPr>
            <w:r>
              <w:rPr>
                <w:sz w:val="18"/>
                <w:szCs w:val="18"/>
              </w:rPr>
              <w:t>Create crosswalks between metadata schemas to support interoperability</w:t>
            </w:r>
          </w:p>
        </w:tc>
        <w:tc>
          <w:tcPr>
            <w:tcW w:w="1410"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35" w14:textId="77777777" w:rsidR="00031725" w:rsidRDefault="00000000">
            <w:pPr>
              <w:spacing w:before="40" w:after="40"/>
              <w:rPr>
                <w:sz w:val="18"/>
                <w:szCs w:val="18"/>
              </w:rPr>
            </w:pPr>
            <w:r>
              <w:rPr>
                <w:sz w:val="18"/>
                <w:szCs w:val="18"/>
              </w:rPr>
              <w:t>Researcher</w:t>
            </w:r>
          </w:p>
        </w:tc>
        <w:tc>
          <w:tcPr>
            <w:tcW w:w="2325"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36" w14:textId="77777777" w:rsidR="00031725" w:rsidRDefault="00000000">
            <w:pPr>
              <w:spacing w:before="40" w:after="40"/>
              <w:rPr>
                <w:sz w:val="18"/>
                <w:szCs w:val="18"/>
              </w:rPr>
            </w:pPr>
            <w:r>
              <w:rPr>
                <w:sz w:val="18"/>
                <w:szCs w:val="18"/>
              </w:rPr>
              <w:t>Datasets from different sources can be combined and compared, for example medical imaging data with geospatial data</w:t>
            </w:r>
          </w:p>
        </w:tc>
        <w:tc>
          <w:tcPr>
            <w:tcW w:w="1410"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37" w14:textId="77777777" w:rsidR="00031725" w:rsidRDefault="00000000">
            <w:pPr>
              <w:spacing w:before="40" w:after="40"/>
              <w:rPr>
                <w:sz w:val="18"/>
                <w:szCs w:val="18"/>
              </w:rPr>
            </w:pPr>
            <w:r>
              <w:rPr>
                <w:sz w:val="18"/>
                <w:szCs w:val="18"/>
              </w:rPr>
              <w:t>Standards, Capacity</w:t>
            </w:r>
          </w:p>
        </w:tc>
        <w:tc>
          <w:tcPr>
            <w:tcW w:w="1485" w:type="dxa"/>
            <w:tcBorders>
              <w:top w:val="nil"/>
              <w:left w:val="nil"/>
              <w:bottom w:val="single" w:sz="5" w:space="0" w:color="005B52"/>
              <w:right w:val="single" w:sz="5" w:space="0" w:color="005B52"/>
            </w:tcBorders>
            <w:shd w:val="clear" w:color="auto" w:fill="FFF8E6"/>
            <w:tcMar>
              <w:top w:w="80" w:type="dxa"/>
              <w:left w:w="120" w:type="dxa"/>
              <w:bottom w:w="80" w:type="dxa"/>
              <w:right w:w="120" w:type="dxa"/>
            </w:tcMar>
          </w:tcPr>
          <w:p w14:paraId="00000138" w14:textId="77777777" w:rsidR="00031725" w:rsidRDefault="00000000">
            <w:pPr>
              <w:spacing w:before="40" w:after="40"/>
              <w:rPr>
                <w:b/>
                <w:bCs/>
                <w:color w:val="7F6000"/>
                <w:sz w:val="18"/>
                <w:szCs w:val="18"/>
              </w:rPr>
            </w:pPr>
            <w:r>
              <w:rPr>
                <w:b/>
                <w:bCs/>
                <w:color w:val="7F6000"/>
                <w:sz w:val="18"/>
                <w:szCs w:val="18"/>
              </w:rPr>
              <w:t>Future Consideration</w:t>
            </w:r>
          </w:p>
        </w:tc>
      </w:tr>
      <w:tr w:rsidR="00031725" w14:paraId="1AFF2409" w14:textId="77777777">
        <w:trPr>
          <w:trHeight w:val="1065"/>
        </w:trPr>
        <w:tc>
          <w:tcPr>
            <w:tcW w:w="2385" w:type="dxa"/>
            <w:tcBorders>
              <w:top w:val="nil"/>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139" w14:textId="77777777" w:rsidR="00031725" w:rsidRDefault="00000000">
            <w:pPr>
              <w:spacing w:before="40" w:after="40"/>
              <w:rPr>
                <w:sz w:val="18"/>
                <w:szCs w:val="18"/>
              </w:rPr>
            </w:pPr>
            <w:r>
              <w:rPr>
                <w:sz w:val="18"/>
                <w:szCs w:val="18"/>
              </w:rPr>
              <w:t>Harmonise metadata schemas across repositories to improve consistency and FAIR alignment across institutional and regional systems</w:t>
            </w:r>
          </w:p>
        </w:tc>
        <w:tc>
          <w:tcPr>
            <w:tcW w:w="1410"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3A" w14:textId="77777777" w:rsidR="00031725" w:rsidRDefault="00000000">
            <w:pPr>
              <w:spacing w:before="40" w:after="40"/>
              <w:rPr>
                <w:sz w:val="18"/>
                <w:szCs w:val="18"/>
              </w:rPr>
            </w:pPr>
            <w:r>
              <w:rPr>
                <w:sz w:val="18"/>
                <w:szCs w:val="18"/>
              </w:rPr>
              <w:t>Data Support Professional</w:t>
            </w:r>
          </w:p>
        </w:tc>
        <w:tc>
          <w:tcPr>
            <w:tcW w:w="2325"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3B" w14:textId="77777777" w:rsidR="00031725" w:rsidRDefault="00000000">
            <w:pPr>
              <w:spacing w:before="40" w:after="40"/>
              <w:rPr>
                <w:sz w:val="18"/>
                <w:szCs w:val="18"/>
              </w:rPr>
            </w:pPr>
            <w:r>
              <w:rPr>
                <w:sz w:val="18"/>
                <w:szCs w:val="18"/>
              </w:rPr>
              <w:t>Interoperable repositories at institutional, regional and national level</w:t>
            </w:r>
          </w:p>
        </w:tc>
        <w:tc>
          <w:tcPr>
            <w:tcW w:w="1410"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3C" w14:textId="77777777" w:rsidR="00031725" w:rsidRDefault="00000000">
            <w:pPr>
              <w:spacing w:before="40" w:after="40"/>
              <w:rPr>
                <w:sz w:val="18"/>
                <w:szCs w:val="18"/>
              </w:rPr>
            </w:pPr>
            <w:r>
              <w:rPr>
                <w:sz w:val="18"/>
                <w:szCs w:val="18"/>
              </w:rPr>
              <w:t>Standards, Capacity</w:t>
            </w:r>
          </w:p>
        </w:tc>
        <w:tc>
          <w:tcPr>
            <w:tcW w:w="1485" w:type="dxa"/>
            <w:tcBorders>
              <w:top w:val="nil"/>
              <w:left w:val="nil"/>
              <w:bottom w:val="single" w:sz="5" w:space="0" w:color="005B52"/>
              <w:right w:val="single" w:sz="5" w:space="0" w:color="005B52"/>
            </w:tcBorders>
            <w:shd w:val="clear" w:color="auto" w:fill="FFF8E6"/>
            <w:tcMar>
              <w:top w:w="80" w:type="dxa"/>
              <w:left w:w="120" w:type="dxa"/>
              <w:bottom w:w="80" w:type="dxa"/>
              <w:right w:w="120" w:type="dxa"/>
            </w:tcMar>
          </w:tcPr>
          <w:p w14:paraId="0000013D" w14:textId="77777777" w:rsidR="00031725" w:rsidRDefault="00000000">
            <w:pPr>
              <w:spacing w:before="40" w:after="40"/>
              <w:rPr>
                <w:b/>
                <w:bCs/>
                <w:color w:val="7F6000"/>
                <w:sz w:val="18"/>
                <w:szCs w:val="18"/>
              </w:rPr>
            </w:pPr>
            <w:r>
              <w:rPr>
                <w:b/>
                <w:bCs/>
                <w:color w:val="7F6000"/>
                <w:sz w:val="18"/>
                <w:szCs w:val="18"/>
              </w:rPr>
              <w:t>Future Consideration</w:t>
            </w:r>
          </w:p>
        </w:tc>
      </w:tr>
      <w:tr w:rsidR="00031725" w14:paraId="491629BD" w14:textId="77777777">
        <w:trPr>
          <w:trHeight w:val="1680"/>
        </w:trPr>
        <w:tc>
          <w:tcPr>
            <w:tcW w:w="2385" w:type="dxa"/>
            <w:tcBorders>
              <w:top w:val="nil"/>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13E" w14:textId="77777777" w:rsidR="00031725" w:rsidRDefault="00000000">
            <w:pPr>
              <w:spacing w:before="40" w:after="40"/>
              <w:rPr>
                <w:sz w:val="18"/>
                <w:szCs w:val="18"/>
              </w:rPr>
            </w:pPr>
            <w:r>
              <w:rPr>
                <w:sz w:val="18"/>
                <w:szCs w:val="18"/>
              </w:rPr>
              <w:t>Connect multiple Data Director deployments so datasets across institutional boundaries can be discovered and shared through a joined-up system, including data from third-party sources</w:t>
            </w:r>
          </w:p>
        </w:tc>
        <w:tc>
          <w:tcPr>
            <w:tcW w:w="1410"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3F" w14:textId="77777777" w:rsidR="00031725" w:rsidRDefault="00000000">
            <w:pPr>
              <w:spacing w:before="40" w:after="40"/>
              <w:rPr>
                <w:sz w:val="18"/>
                <w:szCs w:val="18"/>
              </w:rPr>
            </w:pPr>
            <w:r>
              <w:rPr>
                <w:sz w:val="18"/>
                <w:szCs w:val="18"/>
              </w:rPr>
              <w:t>Researcher, Data Support Professional</w:t>
            </w:r>
          </w:p>
        </w:tc>
        <w:tc>
          <w:tcPr>
            <w:tcW w:w="2325"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40" w14:textId="77777777" w:rsidR="00031725" w:rsidRDefault="00000000">
            <w:pPr>
              <w:spacing w:before="40" w:after="40"/>
              <w:rPr>
                <w:sz w:val="18"/>
                <w:szCs w:val="18"/>
              </w:rPr>
            </w:pPr>
            <w:r>
              <w:rPr>
                <w:sz w:val="18"/>
                <w:szCs w:val="18"/>
              </w:rPr>
              <w:t>Data held across institutional boundaries and in external sources becomes discoverable and shareable through connected Data Director instances</w:t>
            </w:r>
          </w:p>
        </w:tc>
        <w:tc>
          <w:tcPr>
            <w:tcW w:w="1410"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41" w14:textId="77777777" w:rsidR="00031725" w:rsidRDefault="00000000">
            <w:pPr>
              <w:spacing w:before="40" w:after="40"/>
              <w:rPr>
                <w:sz w:val="18"/>
                <w:szCs w:val="18"/>
              </w:rPr>
            </w:pPr>
            <w:r>
              <w:rPr>
                <w:sz w:val="18"/>
                <w:szCs w:val="18"/>
              </w:rPr>
              <w:t>Standards, Capacity</w:t>
            </w:r>
          </w:p>
        </w:tc>
        <w:tc>
          <w:tcPr>
            <w:tcW w:w="1485" w:type="dxa"/>
            <w:tcBorders>
              <w:top w:val="nil"/>
              <w:left w:val="nil"/>
              <w:bottom w:val="single" w:sz="5" w:space="0" w:color="005B52"/>
              <w:right w:val="single" w:sz="5" w:space="0" w:color="005B52"/>
            </w:tcBorders>
            <w:shd w:val="clear" w:color="auto" w:fill="FFF8E6"/>
            <w:tcMar>
              <w:top w:w="80" w:type="dxa"/>
              <w:left w:w="120" w:type="dxa"/>
              <w:bottom w:w="80" w:type="dxa"/>
              <w:right w:w="120" w:type="dxa"/>
            </w:tcMar>
          </w:tcPr>
          <w:p w14:paraId="00000142" w14:textId="77777777" w:rsidR="00031725" w:rsidRDefault="00000000">
            <w:pPr>
              <w:spacing w:before="40" w:after="40"/>
              <w:rPr>
                <w:b/>
                <w:bCs/>
                <w:color w:val="7F6000"/>
                <w:sz w:val="18"/>
                <w:szCs w:val="18"/>
              </w:rPr>
            </w:pPr>
            <w:r>
              <w:rPr>
                <w:b/>
                <w:bCs/>
                <w:color w:val="7F6000"/>
                <w:sz w:val="18"/>
                <w:szCs w:val="18"/>
              </w:rPr>
              <w:t>Future Consideration</w:t>
            </w:r>
          </w:p>
        </w:tc>
      </w:tr>
      <w:tr w:rsidR="00031725" w14:paraId="724C0189" w14:textId="77777777">
        <w:trPr>
          <w:trHeight w:val="450"/>
        </w:trPr>
        <w:tc>
          <w:tcPr>
            <w:tcW w:w="9015" w:type="dxa"/>
            <w:gridSpan w:val="5"/>
            <w:tcBorders>
              <w:top w:val="nil"/>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143" w14:textId="77777777" w:rsidR="00031725" w:rsidRDefault="00000000">
            <w:pPr>
              <w:spacing w:before="40" w:after="40"/>
              <w:rPr>
                <w:b/>
                <w:bCs/>
                <w:color w:val="005B52"/>
                <w:sz w:val="18"/>
                <w:szCs w:val="18"/>
              </w:rPr>
            </w:pPr>
            <w:r>
              <w:rPr>
                <w:b/>
                <w:bCs/>
                <w:color w:val="005B52"/>
                <w:sz w:val="18"/>
                <w:szCs w:val="18"/>
              </w:rPr>
              <w:lastRenderedPageBreak/>
              <w:t>3. PERSISTENT IDENTIFICATION</w:t>
            </w:r>
          </w:p>
        </w:tc>
      </w:tr>
      <w:tr w:rsidR="00031725" w14:paraId="68E3E8B7" w14:textId="77777777">
        <w:trPr>
          <w:trHeight w:val="1890"/>
        </w:trPr>
        <w:tc>
          <w:tcPr>
            <w:tcW w:w="2385" w:type="dxa"/>
            <w:tcBorders>
              <w:top w:val="nil"/>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148" w14:textId="77777777" w:rsidR="00031725" w:rsidRDefault="00000000">
            <w:pPr>
              <w:spacing w:before="40" w:after="40"/>
              <w:rPr>
                <w:sz w:val="18"/>
                <w:szCs w:val="18"/>
              </w:rPr>
            </w:pPr>
            <w:r>
              <w:rPr>
                <w:sz w:val="18"/>
                <w:szCs w:val="18"/>
              </w:rPr>
              <w:t>Support the assignment of persistent identifiers (PIDs) to datasets at the point of depositing data for publication; users are informed if the selected repository assigns PIDs automatically</w:t>
            </w:r>
          </w:p>
        </w:tc>
        <w:tc>
          <w:tcPr>
            <w:tcW w:w="1410"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49" w14:textId="77777777" w:rsidR="00031725" w:rsidRDefault="00000000">
            <w:pPr>
              <w:spacing w:before="40" w:after="40"/>
              <w:rPr>
                <w:sz w:val="18"/>
                <w:szCs w:val="18"/>
              </w:rPr>
            </w:pPr>
            <w:r>
              <w:rPr>
                <w:sz w:val="18"/>
                <w:szCs w:val="18"/>
              </w:rPr>
              <w:t>Researcher, Institution</w:t>
            </w:r>
          </w:p>
        </w:tc>
        <w:tc>
          <w:tcPr>
            <w:tcW w:w="2325"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4A" w14:textId="77777777" w:rsidR="00031725" w:rsidRDefault="00000000">
            <w:pPr>
              <w:spacing w:before="40" w:after="40"/>
              <w:rPr>
                <w:sz w:val="18"/>
                <w:szCs w:val="18"/>
              </w:rPr>
            </w:pPr>
            <w:r>
              <w:rPr>
                <w:sz w:val="18"/>
                <w:szCs w:val="18"/>
              </w:rPr>
              <w:t>Datasets are citable and discoverable via persistent identifiers (stable, long-lasting references that remain valid if a dataset moves location); impact metrics can be collected; PID assignment remains the responsibility of the repository</w:t>
            </w:r>
          </w:p>
        </w:tc>
        <w:tc>
          <w:tcPr>
            <w:tcW w:w="1410"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4B" w14:textId="77777777" w:rsidR="00031725" w:rsidRDefault="00000000">
            <w:pPr>
              <w:spacing w:before="40" w:after="40"/>
              <w:rPr>
                <w:sz w:val="18"/>
                <w:szCs w:val="18"/>
              </w:rPr>
            </w:pPr>
            <w:r>
              <w:rPr>
                <w:sz w:val="18"/>
                <w:szCs w:val="18"/>
              </w:rPr>
              <w:t>Support, Standards</w:t>
            </w:r>
          </w:p>
        </w:tc>
        <w:tc>
          <w:tcPr>
            <w:tcW w:w="1485" w:type="dxa"/>
            <w:tcBorders>
              <w:top w:val="nil"/>
              <w:left w:val="nil"/>
              <w:bottom w:val="single" w:sz="5" w:space="0" w:color="005B52"/>
              <w:right w:val="single" w:sz="5" w:space="0" w:color="005B52"/>
            </w:tcBorders>
            <w:shd w:val="clear" w:color="auto" w:fill="E2EFDA"/>
            <w:tcMar>
              <w:top w:w="80" w:type="dxa"/>
              <w:left w:w="120" w:type="dxa"/>
              <w:bottom w:w="80" w:type="dxa"/>
              <w:right w:w="120" w:type="dxa"/>
            </w:tcMar>
          </w:tcPr>
          <w:p w14:paraId="0000014C" w14:textId="77777777" w:rsidR="00031725" w:rsidRDefault="00000000">
            <w:pPr>
              <w:spacing w:before="40" w:after="40"/>
              <w:rPr>
                <w:b/>
                <w:bCs/>
                <w:color w:val="375623"/>
                <w:sz w:val="18"/>
                <w:szCs w:val="18"/>
              </w:rPr>
            </w:pPr>
            <w:r>
              <w:rPr>
                <w:b/>
                <w:bCs/>
                <w:color w:val="375623"/>
                <w:sz w:val="18"/>
                <w:szCs w:val="18"/>
              </w:rPr>
              <w:t>Confirmed</w:t>
            </w:r>
          </w:p>
        </w:tc>
      </w:tr>
      <w:tr w:rsidR="00031725" w14:paraId="0A63AFBE" w14:textId="77777777">
        <w:trPr>
          <w:trHeight w:val="1470"/>
        </w:trPr>
        <w:tc>
          <w:tcPr>
            <w:tcW w:w="2385" w:type="dxa"/>
            <w:tcBorders>
              <w:top w:val="nil"/>
              <w:left w:val="single" w:sz="5" w:space="0" w:color="005B52"/>
              <w:bottom w:val="single" w:sz="5" w:space="0" w:color="005B52"/>
              <w:right w:val="single" w:sz="5" w:space="0" w:color="005B52"/>
            </w:tcBorders>
            <w:tcMar>
              <w:top w:w="80" w:type="dxa"/>
              <w:left w:w="120" w:type="dxa"/>
              <w:bottom w:w="80" w:type="dxa"/>
              <w:right w:w="120" w:type="dxa"/>
            </w:tcMar>
          </w:tcPr>
          <w:p w14:paraId="0000014D" w14:textId="77777777" w:rsidR="00031725" w:rsidRDefault="00000000">
            <w:pPr>
              <w:spacing w:before="40" w:after="40"/>
              <w:rPr>
                <w:sz w:val="18"/>
                <w:szCs w:val="18"/>
              </w:rPr>
            </w:pPr>
            <w:r>
              <w:rPr>
                <w:sz w:val="18"/>
                <w:szCs w:val="18"/>
              </w:rPr>
              <w:t>Support PID assignment at variable or file level, not only at dataset level, to enable more granular citation and traceability</w:t>
            </w:r>
          </w:p>
        </w:tc>
        <w:tc>
          <w:tcPr>
            <w:tcW w:w="1410" w:type="dxa"/>
            <w:tcBorders>
              <w:top w:val="nil"/>
              <w:left w:val="nil"/>
              <w:bottom w:val="single" w:sz="5" w:space="0" w:color="005B52"/>
              <w:right w:val="single" w:sz="5" w:space="0" w:color="005B52"/>
            </w:tcBorders>
            <w:tcMar>
              <w:top w:w="80" w:type="dxa"/>
              <w:left w:w="120" w:type="dxa"/>
              <w:bottom w:w="80" w:type="dxa"/>
              <w:right w:w="120" w:type="dxa"/>
            </w:tcMar>
          </w:tcPr>
          <w:p w14:paraId="0000014E" w14:textId="77777777" w:rsidR="00031725" w:rsidRDefault="00000000">
            <w:pPr>
              <w:spacing w:before="40" w:after="40"/>
              <w:rPr>
                <w:sz w:val="18"/>
                <w:szCs w:val="18"/>
              </w:rPr>
            </w:pPr>
            <w:r>
              <w:rPr>
                <w:sz w:val="18"/>
                <w:szCs w:val="18"/>
              </w:rPr>
              <w:t>Researcher, Data Support Professional</w:t>
            </w:r>
          </w:p>
        </w:tc>
        <w:tc>
          <w:tcPr>
            <w:tcW w:w="2325" w:type="dxa"/>
            <w:tcBorders>
              <w:top w:val="nil"/>
              <w:left w:val="nil"/>
              <w:bottom w:val="single" w:sz="5" w:space="0" w:color="005B52"/>
              <w:right w:val="single" w:sz="5" w:space="0" w:color="005B52"/>
            </w:tcBorders>
            <w:tcMar>
              <w:top w:w="80" w:type="dxa"/>
              <w:left w:w="120" w:type="dxa"/>
              <w:bottom w:w="80" w:type="dxa"/>
              <w:right w:w="120" w:type="dxa"/>
            </w:tcMar>
          </w:tcPr>
          <w:p w14:paraId="0000014F" w14:textId="77777777" w:rsidR="00031725" w:rsidRDefault="00000000">
            <w:pPr>
              <w:spacing w:before="40" w:after="40"/>
              <w:rPr>
                <w:sz w:val="18"/>
                <w:szCs w:val="18"/>
              </w:rPr>
            </w:pPr>
            <w:r>
              <w:rPr>
                <w:sz w:val="18"/>
                <w:szCs w:val="18"/>
              </w:rPr>
              <w:t>Individual variables or files within a dataset are persistently identifiable and citable; granular provenance and credit attribution is enabled</w:t>
            </w:r>
          </w:p>
        </w:tc>
        <w:tc>
          <w:tcPr>
            <w:tcW w:w="1410" w:type="dxa"/>
            <w:tcBorders>
              <w:top w:val="nil"/>
              <w:left w:val="nil"/>
              <w:bottom w:val="single" w:sz="5" w:space="0" w:color="005B52"/>
              <w:right w:val="single" w:sz="5" w:space="0" w:color="005B52"/>
            </w:tcBorders>
            <w:tcMar>
              <w:top w:w="80" w:type="dxa"/>
              <w:left w:w="120" w:type="dxa"/>
              <w:bottom w:w="80" w:type="dxa"/>
              <w:right w:w="120" w:type="dxa"/>
            </w:tcMar>
          </w:tcPr>
          <w:p w14:paraId="00000150" w14:textId="77777777" w:rsidR="00031725" w:rsidRDefault="00000000">
            <w:pPr>
              <w:spacing w:before="40" w:after="40"/>
              <w:rPr>
                <w:sz w:val="18"/>
                <w:szCs w:val="18"/>
              </w:rPr>
            </w:pPr>
            <w:r>
              <w:rPr>
                <w:sz w:val="18"/>
                <w:szCs w:val="18"/>
              </w:rPr>
              <w:t>Standards, Quality and Provenance</w:t>
            </w:r>
          </w:p>
        </w:tc>
        <w:tc>
          <w:tcPr>
            <w:tcW w:w="1485" w:type="dxa"/>
            <w:tcBorders>
              <w:top w:val="nil"/>
              <w:left w:val="nil"/>
              <w:bottom w:val="single" w:sz="5" w:space="0" w:color="005B52"/>
              <w:right w:val="single" w:sz="5" w:space="0" w:color="005B52"/>
            </w:tcBorders>
            <w:shd w:val="clear" w:color="auto" w:fill="FFF8E6"/>
            <w:tcMar>
              <w:top w:w="80" w:type="dxa"/>
              <w:left w:w="120" w:type="dxa"/>
              <w:bottom w:w="80" w:type="dxa"/>
              <w:right w:w="120" w:type="dxa"/>
            </w:tcMar>
          </w:tcPr>
          <w:p w14:paraId="00000151" w14:textId="77777777" w:rsidR="00031725" w:rsidRDefault="00000000">
            <w:pPr>
              <w:spacing w:before="40" w:after="40"/>
              <w:rPr>
                <w:b/>
                <w:bCs/>
                <w:color w:val="7F6000"/>
                <w:sz w:val="18"/>
                <w:szCs w:val="18"/>
              </w:rPr>
            </w:pPr>
            <w:r>
              <w:rPr>
                <w:b/>
                <w:bCs/>
                <w:color w:val="7F6000"/>
                <w:sz w:val="18"/>
                <w:szCs w:val="18"/>
              </w:rPr>
              <w:t>Future Consideration</w:t>
            </w:r>
          </w:p>
        </w:tc>
      </w:tr>
      <w:tr w:rsidR="00031725" w14:paraId="2D59B7C8" w14:textId="77777777">
        <w:trPr>
          <w:trHeight w:val="1470"/>
        </w:trPr>
        <w:tc>
          <w:tcPr>
            <w:tcW w:w="2385" w:type="dxa"/>
            <w:tcBorders>
              <w:top w:val="nil"/>
              <w:left w:val="single" w:sz="5" w:space="0" w:color="005B52"/>
              <w:bottom w:val="single" w:sz="5" w:space="0" w:color="005B52"/>
              <w:right w:val="single" w:sz="5" w:space="0" w:color="005B52"/>
            </w:tcBorders>
            <w:tcMar>
              <w:top w:w="80" w:type="dxa"/>
              <w:left w:w="120" w:type="dxa"/>
              <w:bottom w:w="80" w:type="dxa"/>
              <w:right w:w="120" w:type="dxa"/>
            </w:tcMar>
          </w:tcPr>
          <w:p w14:paraId="00000152" w14:textId="77777777" w:rsidR="00031725" w:rsidRDefault="00000000">
            <w:pPr>
              <w:spacing w:before="40" w:after="40"/>
              <w:rPr>
                <w:sz w:val="18"/>
                <w:szCs w:val="18"/>
              </w:rPr>
            </w:pPr>
            <w:r>
              <w:rPr>
                <w:sz w:val="18"/>
                <w:szCs w:val="18"/>
              </w:rPr>
              <w:t>Attach machine-readable licence and access policies to datasets so that permitted uses travel with the data and can be understood by both humans and automated systems</w:t>
            </w:r>
          </w:p>
        </w:tc>
        <w:tc>
          <w:tcPr>
            <w:tcW w:w="1410" w:type="dxa"/>
            <w:tcBorders>
              <w:top w:val="nil"/>
              <w:left w:val="nil"/>
              <w:bottom w:val="single" w:sz="5" w:space="0" w:color="005B52"/>
              <w:right w:val="single" w:sz="5" w:space="0" w:color="005B52"/>
            </w:tcBorders>
            <w:tcMar>
              <w:top w:w="80" w:type="dxa"/>
              <w:left w:w="120" w:type="dxa"/>
              <w:bottom w:w="80" w:type="dxa"/>
              <w:right w:w="120" w:type="dxa"/>
            </w:tcMar>
          </w:tcPr>
          <w:p w14:paraId="00000153" w14:textId="77777777" w:rsidR="00031725" w:rsidRDefault="00000000">
            <w:pPr>
              <w:spacing w:before="40" w:after="40"/>
              <w:rPr>
                <w:sz w:val="18"/>
                <w:szCs w:val="18"/>
              </w:rPr>
            </w:pPr>
            <w:r>
              <w:rPr>
                <w:sz w:val="18"/>
                <w:szCs w:val="18"/>
              </w:rPr>
              <w:t>Researcher, Data Support Professional</w:t>
            </w:r>
          </w:p>
        </w:tc>
        <w:tc>
          <w:tcPr>
            <w:tcW w:w="2325" w:type="dxa"/>
            <w:tcBorders>
              <w:top w:val="nil"/>
              <w:left w:val="nil"/>
              <w:bottom w:val="single" w:sz="5" w:space="0" w:color="005B52"/>
              <w:right w:val="single" w:sz="5" w:space="0" w:color="005B52"/>
            </w:tcBorders>
            <w:tcMar>
              <w:top w:w="80" w:type="dxa"/>
              <w:left w:w="120" w:type="dxa"/>
              <w:bottom w:w="80" w:type="dxa"/>
              <w:right w:w="120" w:type="dxa"/>
            </w:tcMar>
          </w:tcPr>
          <w:p w14:paraId="00000154" w14:textId="77777777" w:rsidR="00031725" w:rsidRDefault="00000000">
            <w:pPr>
              <w:spacing w:before="40" w:after="40"/>
              <w:rPr>
                <w:sz w:val="18"/>
                <w:szCs w:val="18"/>
              </w:rPr>
            </w:pPr>
            <w:r>
              <w:rPr>
                <w:sz w:val="18"/>
                <w:szCs w:val="18"/>
              </w:rPr>
              <w:t>Licence and access conditions are machine-readable and travel with the dataset as a persistent, FAIR-aligned policy object</w:t>
            </w:r>
          </w:p>
        </w:tc>
        <w:tc>
          <w:tcPr>
            <w:tcW w:w="1410" w:type="dxa"/>
            <w:tcBorders>
              <w:top w:val="nil"/>
              <w:left w:val="nil"/>
              <w:bottom w:val="single" w:sz="5" w:space="0" w:color="005B52"/>
              <w:right w:val="single" w:sz="5" w:space="0" w:color="005B52"/>
            </w:tcBorders>
            <w:tcMar>
              <w:top w:w="80" w:type="dxa"/>
              <w:left w:w="120" w:type="dxa"/>
              <w:bottom w:w="80" w:type="dxa"/>
              <w:right w:w="120" w:type="dxa"/>
            </w:tcMar>
          </w:tcPr>
          <w:p w14:paraId="00000155" w14:textId="77777777" w:rsidR="00031725" w:rsidRDefault="00000000">
            <w:pPr>
              <w:spacing w:before="40" w:after="40"/>
              <w:rPr>
                <w:sz w:val="18"/>
                <w:szCs w:val="18"/>
              </w:rPr>
            </w:pPr>
            <w:r>
              <w:rPr>
                <w:sz w:val="18"/>
                <w:szCs w:val="18"/>
              </w:rPr>
              <w:t>Governance, Standards</w:t>
            </w:r>
          </w:p>
        </w:tc>
        <w:tc>
          <w:tcPr>
            <w:tcW w:w="1485" w:type="dxa"/>
            <w:tcBorders>
              <w:top w:val="nil"/>
              <w:left w:val="nil"/>
              <w:bottom w:val="single" w:sz="5" w:space="0" w:color="005B52"/>
              <w:right w:val="single" w:sz="5" w:space="0" w:color="005B52"/>
            </w:tcBorders>
            <w:shd w:val="clear" w:color="auto" w:fill="FFF8E6"/>
            <w:tcMar>
              <w:top w:w="80" w:type="dxa"/>
              <w:left w:w="120" w:type="dxa"/>
              <w:bottom w:w="80" w:type="dxa"/>
              <w:right w:w="120" w:type="dxa"/>
            </w:tcMar>
          </w:tcPr>
          <w:p w14:paraId="00000156" w14:textId="77777777" w:rsidR="00031725" w:rsidRDefault="00000000">
            <w:pPr>
              <w:spacing w:before="40" w:after="40"/>
              <w:rPr>
                <w:b/>
                <w:bCs/>
                <w:color w:val="7F6000"/>
                <w:sz w:val="18"/>
                <w:szCs w:val="18"/>
              </w:rPr>
            </w:pPr>
            <w:r>
              <w:rPr>
                <w:b/>
                <w:bCs/>
                <w:color w:val="7F6000"/>
                <w:sz w:val="18"/>
                <w:szCs w:val="18"/>
              </w:rPr>
              <w:t>Future Consideration</w:t>
            </w:r>
          </w:p>
        </w:tc>
      </w:tr>
      <w:tr w:rsidR="00031725" w14:paraId="65EC507E" w14:textId="77777777">
        <w:trPr>
          <w:trHeight w:val="450"/>
        </w:trPr>
        <w:tc>
          <w:tcPr>
            <w:tcW w:w="9015" w:type="dxa"/>
            <w:gridSpan w:val="5"/>
            <w:tcBorders>
              <w:top w:val="nil"/>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157" w14:textId="77777777" w:rsidR="00031725" w:rsidRDefault="00000000">
            <w:pPr>
              <w:spacing w:before="40" w:after="40"/>
              <w:rPr>
                <w:b/>
                <w:bCs/>
                <w:color w:val="005B52"/>
                <w:sz w:val="18"/>
                <w:szCs w:val="18"/>
              </w:rPr>
            </w:pPr>
            <w:r>
              <w:rPr>
                <w:b/>
                <w:bCs/>
                <w:color w:val="005B52"/>
                <w:sz w:val="18"/>
                <w:szCs w:val="18"/>
              </w:rPr>
              <w:t>4. DATA MANAGEMENT PLANNING</w:t>
            </w:r>
          </w:p>
        </w:tc>
      </w:tr>
      <w:tr w:rsidR="00031725" w14:paraId="35D8CDA3" w14:textId="77777777">
        <w:trPr>
          <w:trHeight w:val="1890"/>
        </w:trPr>
        <w:tc>
          <w:tcPr>
            <w:tcW w:w="2385" w:type="dxa"/>
            <w:tcBorders>
              <w:top w:val="nil"/>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15C" w14:textId="77777777" w:rsidR="00031725" w:rsidRDefault="00000000">
            <w:pPr>
              <w:spacing w:before="40" w:after="40"/>
              <w:rPr>
                <w:sz w:val="18"/>
                <w:szCs w:val="18"/>
              </w:rPr>
            </w:pPr>
            <w:r>
              <w:rPr>
                <w:sz w:val="18"/>
                <w:szCs w:val="18"/>
              </w:rPr>
              <w:t>Check that research data publication matches what was committed to in the Data Management Plan (DMP), where one exists</w:t>
            </w:r>
          </w:p>
        </w:tc>
        <w:tc>
          <w:tcPr>
            <w:tcW w:w="1410"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5D" w14:textId="77777777" w:rsidR="00031725" w:rsidRDefault="00000000">
            <w:pPr>
              <w:spacing w:before="40" w:after="40"/>
              <w:rPr>
                <w:sz w:val="18"/>
                <w:szCs w:val="18"/>
              </w:rPr>
            </w:pPr>
            <w:r>
              <w:rPr>
                <w:sz w:val="18"/>
                <w:szCs w:val="18"/>
              </w:rPr>
              <w:t>Researcher</w:t>
            </w:r>
          </w:p>
        </w:tc>
        <w:tc>
          <w:tcPr>
            <w:tcW w:w="2325"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5E" w14:textId="77777777" w:rsidR="00031725" w:rsidRDefault="00000000">
            <w:pPr>
              <w:spacing w:before="40" w:after="40"/>
              <w:rPr>
                <w:sz w:val="18"/>
                <w:szCs w:val="18"/>
              </w:rPr>
            </w:pPr>
            <w:r>
              <w:rPr>
                <w:sz w:val="18"/>
                <w:szCs w:val="18"/>
              </w:rPr>
              <w:t>Research data is published in line with the original plan; any discrepancies are flagged for human review; the tool functions without a DMP where one is not available</w:t>
            </w:r>
          </w:p>
        </w:tc>
        <w:tc>
          <w:tcPr>
            <w:tcW w:w="1410"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5F" w14:textId="77777777" w:rsidR="00031725" w:rsidRDefault="00000000">
            <w:pPr>
              <w:spacing w:before="40" w:after="40"/>
              <w:rPr>
                <w:sz w:val="18"/>
                <w:szCs w:val="18"/>
              </w:rPr>
            </w:pPr>
            <w:r>
              <w:rPr>
                <w:sz w:val="18"/>
                <w:szCs w:val="18"/>
              </w:rPr>
              <w:t>Capacity, Policy</w:t>
            </w:r>
          </w:p>
        </w:tc>
        <w:tc>
          <w:tcPr>
            <w:tcW w:w="1485" w:type="dxa"/>
            <w:tcBorders>
              <w:top w:val="nil"/>
              <w:left w:val="nil"/>
              <w:bottom w:val="single" w:sz="5" w:space="0" w:color="005B52"/>
              <w:right w:val="single" w:sz="5" w:space="0" w:color="005B52"/>
            </w:tcBorders>
            <w:shd w:val="clear" w:color="auto" w:fill="E2EFDA"/>
            <w:tcMar>
              <w:top w:w="80" w:type="dxa"/>
              <w:left w:w="120" w:type="dxa"/>
              <w:bottom w:w="80" w:type="dxa"/>
              <w:right w:w="120" w:type="dxa"/>
            </w:tcMar>
          </w:tcPr>
          <w:p w14:paraId="00000160" w14:textId="77777777" w:rsidR="00031725" w:rsidRDefault="00000000">
            <w:pPr>
              <w:spacing w:before="40" w:after="40"/>
              <w:rPr>
                <w:b/>
                <w:bCs/>
                <w:color w:val="375623"/>
                <w:sz w:val="18"/>
                <w:szCs w:val="18"/>
              </w:rPr>
            </w:pPr>
            <w:r>
              <w:rPr>
                <w:b/>
                <w:bCs/>
                <w:color w:val="375623"/>
                <w:sz w:val="18"/>
                <w:szCs w:val="18"/>
              </w:rPr>
              <w:t>Confirmed</w:t>
            </w:r>
          </w:p>
        </w:tc>
      </w:tr>
      <w:tr w:rsidR="00031725" w14:paraId="5955B437" w14:textId="77777777">
        <w:trPr>
          <w:trHeight w:val="1470"/>
        </w:trPr>
        <w:tc>
          <w:tcPr>
            <w:tcW w:w="2385" w:type="dxa"/>
            <w:tcBorders>
              <w:top w:val="nil"/>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161" w14:textId="77777777" w:rsidR="00031725" w:rsidRDefault="00000000">
            <w:pPr>
              <w:spacing w:before="40" w:after="40"/>
              <w:rPr>
                <w:sz w:val="18"/>
                <w:szCs w:val="18"/>
              </w:rPr>
            </w:pPr>
            <w:r>
              <w:rPr>
                <w:sz w:val="18"/>
                <w:szCs w:val="18"/>
              </w:rPr>
              <w:t>Draft, review and update DMPs, incorporating FAIR and CARE principle considerations; CARE principles relate to the governance of Indigenous data.</w:t>
            </w:r>
          </w:p>
        </w:tc>
        <w:tc>
          <w:tcPr>
            <w:tcW w:w="1410"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62" w14:textId="77777777" w:rsidR="00031725" w:rsidRDefault="00000000">
            <w:pPr>
              <w:spacing w:before="40" w:after="40"/>
              <w:rPr>
                <w:sz w:val="18"/>
                <w:szCs w:val="18"/>
              </w:rPr>
            </w:pPr>
            <w:r>
              <w:rPr>
                <w:sz w:val="18"/>
                <w:szCs w:val="18"/>
              </w:rPr>
              <w:t>Researcher, Data Support Professional</w:t>
            </w:r>
          </w:p>
        </w:tc>
        <w:tc>
          <w:tcPr>
            <w:tcW w:w="2325"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63" w14:textId="77777777" w:rsidR="00031725" w:rsidRDefault="00000000">
            <w:pPr>
              <w:spacing w:before="40" w:after="40"/>
              <w:rPr>
                <w:sz w:val="18"/>
                <w:szCs w:val="18"/>
              </w:rPr>
            </w:pPr>
            <w:r>
              <w:rPr>
                <w:sz w:val="18"/>
                <w:szCs w:val="18"/>
              </w:rPr>
              <w:t>A DMP that identifies FAIR and CARE gaps, meets funder and institutional requirements, and is kept up to date throughout the project</w:t>
            </w:r>
          </w:p>
        </w:tc>
        <w:tc>
          <w:tcPr>
            <w:tcW w:w="1410"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64" w14:textId="77777777" w:rsidR="00031725" w:rsidRDefault="00000000">
            <w:pPr>
              <w:spacing w:before="40" w:after="40"/>
              <w:rPr>
                <w:sz w:val="18"/>
                <w:szCs w:val="18"/>
              </w:rPr>
            </w:pPr>
            <w:r>
              <w:rPr>
                <w:sz w:val="18"/>
                <w:szCs w:val="18"/>
              </w:rPr>
              <w:t>Capacity, Policy, Governance</w:t>
            </w:r>
          </w:p>
        </w:tc>
        <w:tc>
          <w:tcPr>
            <w:tcW w:w="1485" w:type="dxa"/>
            <w:tcBorders>
              <w:top w:val="nil"/>
              <w:left w:val="nil"/>
              <w:bottom w:val="single" w:sz="5" w:space="0" w:color="005B52"/>
              <w:right w:val="single" w:sz="5" w:space="0" w:color="005B52"/>
            </w:tcBorders>
            <w:shd w:val="clear" w:color="auto" w:fill="FFF8E6"/>
            <w:tcMar>
              <w:top w:w="80" w:type="dxa"/>
              <w:left w:w="120" w:type="dxa"/>
              <w:bottom w:w="80" w:type="dxa"/>
              <w:right w:w="120" w:type="dxa"/>
            </w:tcMar>
          </w:tcPr>
          <w:p w14:paraId="00000165" w14:textId="77777777" w:rsidR="00031725" w:rsidRDefault="00000000">
            <w:pPr>
              <w:spacing w:before="40" w:after="40"/>
              <w:rPr>
                <w:b/>
                <w:bCs/>
                <w:color w:val="7F6000"/>
                <w:sz w:val="18"/>
                <w:szCs w:val="18"/>
              </w:rPr>
            </w:pPr>
            <w:r>
              <w:rPr>
                <w:b/>
                <w:bCs/>
                <w:color w:val="7F6000"/>
                <w:sz w:val="18"/>
                <w:szCs w:val="18"/>
              </w:rPr>
              <w:t>Future Consideration</w:t>
            </w:r>
          </w:p>
        </w:tc>
      </w:tr>
      <w:tr w:rsidR="00031725" w14:paraId="47EF7F31" w14:textId="77777777">
        <w:trPr>
          <w:trHeight w:val="1275"/>
        </w:trPr>
        <w:tc>
          <w:tcPr>
            <w:tcW w:w="2385" w:type="dxa"/>
            <w:tcBorders>
              <w:top w:val="nil"/>
              <w:left w:val="single" w:sz="5" w:space="0" w:color="005B52"/>
              <w:bottom w:val="single" w:sz="5" w:space="0" w:color="005B52"/>
              <w:right w:val="single" w:sz="5" w:space="0" w:color="005B52"/>
            </w:tcBorders>
            <w:tcMar>
              <w:top w:w="80" w:type="dxa"/>
              <w:left w:w="120" w:type="dxa"/>
              <w:bottom w:w="80" w:type="dxa"/>
              <w:right w:w="120" w:type="dxa"/>
            </w:tcMar>
          </w:tcPr>
          <w:p w14:paraId="00000166" w14:textId="77777777" w:rsidR="00031725" w:rsidRDefault="00000000">
            <w:pPr>
              <w:spacing w:before="40" w:after="40"/>
              <w:rPr>
                <w:sz w:val="18"/>
                <w:szCs w:val="18"/>
              </w:rPr>
            </w:pPr>
            <w:r>
              <w:rPr>
                <w:sz w:val="18"/>
                <w:szCs w:val="18"/>
              </w:rPr>
              <w:lastRenderedPageBreak/>
              <w:t>Update the DMP to reflect research data as published, where funders require this</w:t>
            </w:r>
          </w:p>
        </w:tc>
        <w:tc>
          <w:tcPr>
            <w:tcW w:w="1410" w:type="dxa"/>
            <w:tcBorders>
              <w:top w:val="nil"/>
              <w:left w:val="nil"/>
              <w:bottom w:val="single" w:sz="5" w:space="0" w:color="005B52"/>
              <w:right w:val="single" w:sz="5" w:space="0" w:color="005B52"/>
            </w:tcBorders>
            <w:tcMar>
              <w:top w:w="80" w:type="dxa"/>
              <w:left w:w="120" w:type="dxa"/>
              <w:bottom w:w="80" w:type="dxa"/>
              <w:right w:w="120" w:type="dxa"/>
            </w:tcMar>
          </w:tcPr>
          <w:p w14:paraId="00000167" w14:textId="77777777" w:rsidR="00031725" w:rsidRDefault="00000000">
            <w:pPr>
              <w:spacing w:before="40" w:after="40"/>
              <w:rPr>
                <w:sz w:val="18"/>
                <w:szCs w:val="18"/>
              </w:rPr>
            </w:pPr>
            <w:r>
              <w:rPr>
                <w:sz w:val="18"/>
                <w:szCs w:val="18"/>
              </w:rPr>
              <w:t>Researcher, Data Support Professional</w:t>
            </w:r>
          </w:p>
        </w:tc>
        <w:tc>
          <w:tcPr>
            <w:tcW w:w="2325" w:type="dxa"/>
            <w:tcBorders>
              <w:top w:val="nil"/>
              <w:left w:val="nil"/>
              <w:bottom w:val="single" w:sz="5" w:space="0" w:color="005B52"/>
              <w:right w:val="single" w:sz="5" w:space="0" w:color="005B52"/>
            </w:tcBorders>
            <w:tcMar>
              <w:top w:w="80" w:type="dxa"/>
              <w:left w:w="120" w:type="dxa"/>
              <w:bottom w:w="80" w:type="dxa"/>
              <w:right w:w="120" w:type="dxa"/>
            </w:tcMar>
          </w:tcPr>
          <w:p w14:paraId="00000168" w14:textId="77777777" w:rsidR="00031725" w:rsidRDefault="00000000">
            <w:pPr>
              <w:spacing w:before="40" w:after="40"/>
              <w:rPr>
                <w:sz w:val="18"/>
                <w:szCs w:val="18"/>
              </w:rPr>
            </w:pPr>
            <w:r>
              <w:rPr>
                <w:sz w:val="18"/>
                <w:szCs w:val="18"/>
              </w:rPr>
              <w:t>The DMP accurately reflects the final data publication; funder compliance is maintained post-publication</w:t>
            </w:r>
          </w:p>
        </w:tc>
        <w:tc>
          <w:tcPr>
            <w:tcW w:w="1410" w:type="dxa"/>
            <w:tcBorders>
              <w:top w:val="nil"/>
              <w:left w:val="nil"/>
              <w:bottom w:val="single" w:sz="5" w:space="0" w:color="005B52"/>
              <w:right w:val="single" w:sz="5" w:space="0" w:color="005B52"/>
            </w:tcBorders>
            <w:tcMar>
              <w:top w:w="80" w:type="dxa"/>
              <w:left w:w="120" w:type="dxa"/>
              <w:bottom w:w="80" w:type="dxa"/>
              <w:right w:w="120" w:type="dxa"/>
            </w:tcMar>
          </w:tcPr>
          <w:p w14:paraId="00000169" w14:textId="77777777" w:rsidR="00031725" w:rsidRDefault="00000000">
            <w:pPr>
              <w:spacing w:before="40" w:after="40"/>
              <w:rPr>
                <w:sz w:val="18"/>
                <w:szCs w:val="18"/>
              </w:rPr>
            </w:pPr>
            <w:r>
              <w:rPr>
                <w:sz w:val="18"/>
                <w:szCs w:val="18"/>
              </w:rPr>
              <w:t>Capacity, Policy</w:t>
            </w:r>
          </w:p>
        </w:tc>
        <w:tc>
          <w:tcPr>
            <w:tcW w:w="1485" w:type="dxa"/>
            <w:tcBorders>
              <w:top w:val="nil"/>
              <w:left w:val="nil"/>
              <w:bottom w:val="single" w:sz="5" w:space="0" w:color="005B52"/>
              <w:right w:val="single" w:sz="5" w:space="0" w:color="005B52"/>
            </w:tcBorders>
            <w:shd w:val="clear" w:color="auto" w:fill="FFF8E6"/>
            <w:tcMar>
              <w:top w:w="80" w:type="dxa"/>
              <w:left w:w="120" w:type="dxa"/>
              <w:bottom w:w="80" w:type="dxa"/>
              <w:right w:w="120" w:type="dxa"/>
            </w:tcMar>
          </w:tcPr>
          <w:p w14:paraId="0000016A" w14:textId="77777777" w:rsidR="00031725" w:rsidRDefault="00000000">
            <w:pPr>
              <w:spacing w:before="40" w:after="40"/>
              <w:rPr>
                <w:b/>
                <w:bCs/>
                <w:color w:val="7F6000"/>
                <w:sz w:val="18"/>
                <w:szCs w:val="18"/>
              </w:rPr>
            </w:pPr>
            <w:r>
              <w:rPr>
                <w:b/>
                <w:bCs/>
                <w:color w:val="7F6000"/>
                <w:sz w:val="18"/>
                <w:szCs w:val="18"/>
              </w:rPr>
              <w:t>Future Consideration</w:t>
            </w:r>
          </w:p>
        </w:tc>
      </w:tr>
      <w:tr w:rsidR="00031725" w14:paraId="49EF5324" w14:textId="77777777">
        <w:trPr>
          <w:trHeight w:val="450"/>
        </w:trPr>
        <w:tc>
          <w:tcPr>
            <w:tcW w:w="9015" w:type="dxa"/>
            <w:gridSpan w:val="5"/>
            <w:tcBorders>
              <w:top w:val="nil"/>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16B" w14:textId="77777777" w:rsidR="00031725" w:rsidRDefault="00000000">
            <w:pPr>
              <w:spacing w:before="40" w:after="40"/>
              <w:rPr>
                <w:b/>
                <w:bCs/>
                <w:color w:val="005B52"/>
                <w:sz w:val="18"/>
                <w:szCs w:val="18"/>
              </w:rPr>
            </w:pPr>
            <w:r>
              <w:rPr>
                <w:b/>
                <w:bCs/>
                <w:color w:val="005B52"/>
                <w:sz w:val="18"/>
                <w:szCs w:val="18"/>
              </w:rPr>
              <w:t>5. METADATA REMEDIATION AND IMPROVEMENT</w:t>
            </w:r>
          </w:p>
        </w:tc>
      </w:tr>
      <w:tr w:rsidR="00031725" w14:paraId="7D556BD5" w14:textId="77777777">
        <w:trPr>
          <w:trHeight w:val="1680"/>
        </w:trPr>
        <w:tc>
          <w:tcPr>
            <w:tcW w:w="2385" w:type="dxa"/>
            <w:tcBorders>
              <w:top w:val="nil"/>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170" w14:textId="77777777" w:rsidR="00031725" w:rsidRDefault="00000000">
            <w:pPr>
              <w:spacing w:after="0" w:line="240" w:lineRule="auto"/>
              <w:rPr>
                <w:sz w:val="18"/>
                <w:szCs w:val="18"/>
              </w:rPr>
            </w:pPr>
            <w:r>
              <w:rPr>
                <w:sz w:val="18"/>
                <w:szCs w:val="18"/>
              </w:rPr>
              <w:t>Recommend improved metadata for already-published datasets and supplementary materials, including preliminary and unpublished datasets, for researcher review and action</w:t>
            </w:r>
          </w:p>
        </w:tc>
        <w:tc>
          <w:tcPr>
            <w:tcW w:w="1410"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71" w14:textId="77777777" w:rsidR="00031725" w:rsidRDefault="00000000">
            <w:pPr>
              <w:spacing w:before="40" w:after="40"/>
              <w:rPr>
                <w:sz w:val="18"/>
                <w:szCs w:val="18"/>
              </w:rPr>
            </w:pPr>
            <w:r>
              <w:rPr>
                <w:sz w:val="18"/>
                <w:szCs w:val="18"/>
              </w:rPr>
              <w:t>Researcher, Data Support Professional</w:t>
            </w:r>
          </w:p>
        </w:tc>
        <w:tc>
          <w:tcPr>
            <w:tcW w:w="2325"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72" w14:textId="77777777" w:rsidR="00031725" w:rsidRDefault="00000000">
            <w:pPr>
              <w:spacing w:before="40" w:after="40"/>
              <w:rPr>
                <w:sz w:val="18"/>
                <w:szCs w:val="18"/>
              </w:rPr>
            </w:pPr>
            <w:r>
              <w:rPr>
                <w:sz w:val="18"/>
                <w:szCs w:val="18"/>
              </w:rPr>
              <w:t>Existing datasets become more discoverable, citable, and reusable; metadata is improved against FAIR principles and community best practices</w:t>
            </w:r>
          </w:p>
        </w:tc>
        <w:tc>
          <w:tcPr>
            <w:tcW w:w="1410"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73" w14:textId="77777777" w:rsidR="00031725" w:rsidRDefault="00000000">
            <w:pPr>
              <w:spacing w:before="40" w:after="40"/>
              <w:rPr>
                <w:sz w:val="18"/>
                <w:szCs w:val="18"/>
              </w:rPr>
            </w:pPr>
            <w:r>
              <w:rPr>
                <w:sz w:val="18"/>
                <w:szCs w:val="18"/>
              </w:rPr>
              <w:t>Capacity, Standards</w:t>
            </w:r>
          </w:p>
        </w:tc>
        <w:tc>
          <w:tcPr>
            <w:tcW w:w="1485" w:type="dxa"/>
            <w:tcBorders>
              <w:top w:val="nil"/>
              <w:left w:val="nil"/>
              <w:bottom w:val="single" w:sz="5" w:space="0" w:color="005B52"/>
              <w:right w:val="single" w:sz="5" w:space="0" w:color="005B52"/>
            </w:tcBorders>
            <w:shd w:val="clear" w:color="auto" w:fill="E2EFDA"/>
            <w:tcMar>
              <w:top w:w="80" w:type="dxa"/>
              <w:left w:w="120" w:type="dxa"/>
              <w:bottom w:w="80" w:type="dxa"/>
              <w:right w:w="120" w:type="dxa"/>
            </w:tcMar>
          </w:tcPr>
          <w:p w14:paraId="00000174" w14:textId="77777777" w:rsidR="00031725" w:rsidRDefault="00000000">
            <w:pPr>
              <w:spacing w:before="40" w:after="40"/>
              <w:rPr>
                <w:b/>
                <w:bCs/>
                <w:color w:val="375623"/>
                <w:sz w:val="18"/>
                <w:szCs w:val="18"/>
              </w:rPr>
            </w:pPr>
            <w:r>
              <w:rPr>
                <w:b/>
                <w:bCs/>
                <w:color w:val="375623"/>
                <w:sz w:val="18"/>
                <w:szCs w:val="18"/>
              </w:rPr>
              <w:t>Confirmed</w:t>
            </w:r>
          </w:p>
        </w:tc>
      </w:tr>
      <w:tr w:rsidR="00031725" w14:paraId="5116CFD3" w14:textId="77777777">
        <w:trPr>
          <w:trHeight w:val="1275"/>
        </w:trPr>
        <w:tc>
          <w:tcPr>
            <w:tcW w:w="2385" w:type="dxa"/>
            <w:tcBorders>
              <w:top w:val="nil"/>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175" w14:textId="77777777" w:rsidR="00031725" w:rsidRDefault="00000000">
            <w:pPr>
              <w:spacing w:before="40" w:after="40"/>
              <w:rPr>
                <w:sz w:val="18"/>
                <w:szCs w:val="18"/>
              </w:rPr>
            </w:pPr>
            <w:r>
              <w:rPr>
                <w:sz w:val="18"/>
                <w:szCs w:val="18"/>
              </w:rPr>
              <w:t>Use automated data processing to extract, reformat and improve existing metadata records, applying the same standards-selection process used for new data</w:t>
            </w:r>
          </w:p>
        </w:tc>
        <w:tc>
          <w:tcPr>
            <w:tcW w:w="1410"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76" w14:textId="77777777" w:rsidR="00031725" w:rsidRDefault="00000000">
            <w:pPr>
              <w:spacing w:before="40" w:after="40"/>
              <w:rPr>
                <w:sz w:val="18"/>
                <w:szCs w:val="18"/>
              </w:rPr>
            </w:pPr>
            <w:r>
              <w:rPr>
                <w:sz w:val="18"/>
                <w:szCs w:val="18"/>
              </w:rPr>
              <w:t>Researcher, Data Support Professional</w:t>
            </w:r>
          </w:p>
        </w:tc>
        <w:tc>
          <w:tcPr>
            <w:tcW w:w="2325"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77" w14:textId="77777777" w:rsidR="00031725" w:rsidRDefault="00000000">
            <w:pPr>
              <w:spacing w:before="40" w:after="40"/>
              <w:rPr>
                <w:sz w:val="18"/>
                <w:szCs w:val="18"/>
              </w:rPr>
            </w:pPr>
            <w:r>
              <w:rPr>
                <w:sz w:val="18"/>
                <w:szCs w:val="18"/>
              </w:rPr>
              <w:t>Existing metadata is cleaned and updated using the same standards-selection process as new data</w:t>
            </w:r>
          </w:p>
        </w:tc>
        <w:tc>
          <w:tcPr>
            <w:tcW w:w="1410"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78" w14:textId="77777777" w:rsidR="00031725" w:rsidRDefault="00000000">
            <w:pPr>
              <w:spacing w:before="40" w:after="40"/>
              <w:rPr>
                <w:sz w:val="18"/>
                <w:szCs w:val="18"/>
              </w:rPr>
            </w:pPr>
            <w:r>
              <w:rPr>
                <w:sz w:val="18"/>
                <w:szCs w:val="18"/>
              </w:rPr>
              <w:t>Capacity, Standards</w:t>
            </w:r>
          </w:p>
        </w:tc>
        <w:tc>
          <w:tcPr>
            <w:tcW w:w="1485" w:type="dxa"/>
            <w:tcBorders>
              <w:top w:val="nil"/>
              <w:left w:val="nil"/>
              <w:bottom w:val="single" w:sz="5" w:space="0" w:color="005B52"/>
              <w:right w:val="single" w:sz="5" w:space="0" w:color="005B52"/>
            </w:tcBorders>
            <w:shd w:val="clear" w:color="auto" w:fill="FFF8E6"/>
            <w:tcMar>
              <w:top w:w="80" w:type="dxa"/>
              <w:left w:w="120" w:type="dxa"/>
              <w:bottom w:w="80" w:type="dxa"/>
              <w:right w:w="120" w:type="dxa"/>
            </w:tcMar>
          </w:tcPr>
          <w:p w14:paraId="00000179" w14:textId="77777777" w:rsidR="00031725" w:rsidRDefault="00000000">
            <w:pPr>
              <w:spacing w:before="40" w:after="40"/>
              <w:rPr>
                <w:b/>
                <w:bCs/>
                <w:color w:val="7F6000"/>
                <w:sz w:val="18"/>
                <w:szCs w:val="18"/>
              </w:rPr>
            </w:pPr>
            <w:r>
              <w:rPr>
                <w:b/>
                <w:bCs/>
                <w:color w:val="7F6000"/>
                <w:sz w:val="18"/>
                <w:szCs w:val="18"/>
              </w:rPr>
              <w:t>Future Consideration</w:t>
            </w:r>
          </w:p>
        </w:tc>
      </w:tr>
      <w:tr w:rsidR="00031725" w14:paraId="732FBED2" w14:textId="77777777">
        <w:trPr>
          <w:trHeight w:val="450"/>
        </w:trPr>
        <w:tc>
          <w:tcPr>
            <w:tcW w:w="9015" w:type="dxa"/>
            <w:gridSpan w:val="5"/>
            <w:tcBorders>
              <w:top w:val="nil"/>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17A" w14:textId="77777777" w:rsidR="00031725" w:rsidRDefault="00000000">
            <w:pPr>
              <w:spacing w:before="40" w:after="40"/>
              <w:rPr>
                <w:b/>
                <w:bCs/>
                <w:color w:val="005B52"/>
                <w:sz w:val="18"/>
                <w:szCs w:val="18"/>
              </w:rPr>
            </w:pPr>
            <w:r>
              <w:rPr>
                <w:b/>
                <w:bCs/>
                <w:color w:val="005B52"/>
                <w:sz w:val="18"/>
                <w:szCs w:val="18"/>
              </w:rPr>
              <w:t>6. FAIR ASSESSMENT</w:t>
            </w:r>
          </w:p>
        </w:tc>
      </w:tr>
      <w:tr w:rsidR="00031725" w14:paraId="09B87115" w14:textId="77777777">
        <w:trPr>
          <w:trHeight w:val="2085"/>
        </w:trPr>
        <w:tc>
          <w:tcPr>
            <w:tcW w:w="2385" w:type="dxa"/>
            <w:tcBorders>
              <w:top w:val="nil"/>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17F" w14:textId="77777777" w:rsidR="00031725" w:rsidRDefault="00000000">
            <w:pPr>
              <w:spacing w:before="40" w:after="40"/>
              <w:rPr>
                <w:sz w:val="18"/>
                <w:szCs w:val="18"/>
              </w:rPr>
            </w:pPr>
            <w:r>
              <w:rPr>
                <w:sz w:val="18"/>
                <w:szCs w:val="18"/>
              </w:rPr>
              <w:t>Connect to recognised FAIR evaluation tools to assess how well produced metadata meets community standards, returning a score or maturity level to guide improvement</w:t>
            </w:r>
          </w:p>
        </w:tc>
        <w:tc>
          <w:tcPr>
            <w:tcW w:w="1410"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80" w14:textId="77777777" w:rsidR="00031725" w:rsidRDefault="00000000">
            <w:pPr>
              <w:spacing w:before="40" w:after="40"/>
              <w:rPr>
                <w:sz w:val="18"/>
                <w:szCs w:val="18"/>
              </w:rPr>
            </w:pPr>
            <w:r>
              <w:rPr>
                <w:sz w:val="18"/>
                <w:szCs w:val="18"/>
              </w:rPr>
              <w:t>Researcher, Data Support Professional, Institution</w:t>
            </w:r>
          </w:p>
        </w:tc>
        <w:tc>
          <w:tcPr>
            <w:tcW w:w="2325"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81" w14:textId="77777777" w:rsidR="00031725" w:rsidRDefault="00000000">
            <w:pPr>
              <w:spacing w:before="40" w:after="40"/>
              <w:rPr>
                <w:sz w:val="18"/>
                <w:szCs w:val="18"/>
              </w:rPr>
            </w:pPr>
            <w:r>
              <w:rPr>
                <w:sz w:val="18"/>
                <w:szCs w:val="18"/>
              </w:rPr>
              <w:t>A FAIR evaluation score or maturity level is returned by the connected evaluation tool; researchers can understand, track, and improve their metadata against recognised criteria</w:t>
            </w:r>
          </w:p>
        </w:tc>
        <w:tc>
          <w:tcPr>
            <w:tcW w:w="1410"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82" w14:textId="77777777" w:rsidR="00031725" w:rsidRDefault="00000000">
            <w:pPr>
              <w:spacing w:before="40" w:after="40"/>
              <w:rPr>
                <w:sz w:val="18"/>
                <w:szCs w:val="18"/>
              </w:rPr>
            </w:pPr>
            <w:r>
              <w:rPr>
                <w:sz w:val="18"/>
                <w:szCs w:val="18"/>
              </w:rPr>
              <w:t>Standards, Quality and Provenance</w:t>
            </w:r>
          </w:p>
        </w:tc>
        <w:tc>
          <w:tcPr>
            <w:tcW w:w="1485" w:type="dxa"/>
            <w:tcBorders>
              <w:top w:val="nil"/>
              <w:left w:val="nil"/>
              <w:bottom w:val="single" w:sz="5" w:space="0" w:color="005B52"/>
              <w:right w:val="single" w:sz="5" w:space="0" w:color="005B52"/>
            </w:tcBorders>
            <w:shd w:val="clear" w:color="auto" w:fill="FFF8E6"/>
            <w:tcMar>
              <w:top w:w="80" w:type="dxa"/>
              <w:left w:w="120" w:type="dxa"/>
              <w:bottom w:w="80" w:type="dxa"/>
              <w:right w:w="120" w:type="dxa"/>
            </w:tcMar>
          </w:tcPr>
          <w:p w14:paraId="00000183" w14:textId="77777777" w:rsidR="00031725" w:rsidRDefault="00000000">
            <w:pPr>
              <w:spacing w:before="40" w:after="40"/>
              <w:rPr>
                <w:b/>
                <w:bCs/>
                <w:color w:val="7F6000"/>
                <w:sz w:val="18"/>
                <w:szCs w:val="18"/>
              </w:rPr>
            </w:pPr>
            <w:r>
              <w:rPr>
                <w:b/>
                <w:bCs/>
                <w:color w:val="7F6000"/>
                <w:sz w:val="18"/>
                <w:szCs w:val="18"/>
              </w:rPr>
              <w:t>Future Consideration</w:t>
            </w:r>
          </w:p>
        </w:tc>
      </w:tr>
      <w:tr w:rsidR="00031725" w14:paraId="67D8D95F" w14:textId="77777777">
        <w:trPr>
          <w:trHeight w:val="1680"/>
        </w:trPr>
        <w:tc>
          <w:tcPr>
            <w:tcW w:w="2385" w:type="dxa"/>
            <w:tcBorders>
              <w:top w:val="nil"/>
              <w:left w:val="single" w:sz="5" w:space="0" w:color="005B52"/>
              <w:bottom w:val="single" w:sz="5" w:space="0" w:color="005B52"/>
              <w:right w:val="single" w:sz="5" w:space="0" w:color="005B52"/>
            </w:tcBorders>
            <w:tcMar>
              <w:top w:w="80" w:type="dxa"/>
              <w:left w:w="120" w:type="dxa"/>
              <w:bottom w:w="80" w:type="dxa"/>
              <w:right w:w="120" w:type="dxa"/>
            </w:tcMar>
          </w:tcPr>
          <w:p w14:paraId="00000184" w14:textId="77777777" w:rsidR="00031725" w:rsidRDefault="00000000">
            <w:pPr>
              <w:spacing w:before="40" w:after="40"/>
              <w:rPr>
                <w:sz w:val="18"/>
                <w:szCs w:val="18"/>
              </w:rPr>
            </w:pPr>
            <w:r>
              <w:rPr>
                <w:sz w:val="18"/>
                <w:szCs w:val="18"/>
              </w:rPr>
              <w:t xml:space="preserve">Evaluate how FAIR-aligned already-published datasets are using recognised tools such as </w:t>
            </w:r>
            <w:hyperlink r:id="rId23">
              <w:r w:rsidR="00031725">
                <w:rPr>
                  <w:color w:val="1155CC"/>
                  <w:sz w:val="18"/>
                  <w:szCs w:val="18"/>
                  <w:u w:val="single"/>
                </w:rPr>
                <w:t>FAIRassist</w:t>
              </w:r>
            </w:hyperlink>
            <w:r>
              <w:rPr>
                <w:sz w:val="18"/>
                <w:szCs w:val="18"/>
              </w:rPr>
              <w:t>,</w:t>
            </w:r>
            <w:r>
              <w:rPr>
                <w:sz w:val="18"/>
                <w:szCs w:val="18"/>
                <w:vertAlign w:val="superscript"/>
              </w:rPr>
              <w:footnoteReference w:id="14"/>
            </w:r>
            <w:r>
              <w:rPr>
                <w:sz w:val="18"/>
                <w:szCs w:val="18"/>
              </w:rPr>
              <w:t xml:space="preserve"> and provide improvement recommendations</w:t>
            </w:r>
          </w:p>
        </w:tc>
        <w:tc>
          <w:tcPr>
            <w:tcW w:w="1410" w:type="dxa"/>
            <w:tcBorders>
              <w:top w:val="nil"/>
              <w:left w:val="nil"/>
              <w:bottom w:val="single" w:sz="5" w:space="0" w:color="005B52"/>
              <w:right w:val="single" w:sz="5" w:space="0" w:color="005B52"/>
            </w:tcBorders>
            <w:tcMar>
              <w:top w:w="80" w:type="dxa"/>
              <w:left w:w="120" w:type="dxa"/>
              <w:bottom w:w="80" w:type="dxa"/>
              <w:right w:w="120" w:type="dxa"/>
            </w:tcMar>
          </w:tcPr>
          <w:p w14:paraId="00000185" w14:textId="77777777" w:rsidR="00031725" w:rsidRDefault="00000000">
            <w:pPr>
              <w:spacing w:before="40" w:after="40"/>
              <w:rPr>
                <w:sz w:val="18"/>
                <w:szCs w:val="18"/>
              </w:rPr>
            </w:pPr>
            <w:r>
              <w:rPr>
                <w:sz w:val="18"/>
                <w:szCs w:val="18"/>
              </w:rPr>
              <w:t>Researcher, Data Support Professional</w:t>
            </w:r>
          </w:p>
        </w:tc>
        <w:tc>
          <w:tcPr>
            <w:tcW w:w="2325" w:type="dxa"/>
            <w:tcBorders>
              <w:top w:val="nil"/>
              <w:left w:val="nil"/>
              <w:bottom w:val="single" w:sz="5" w:space="0" w:color="005B52"/>
              <w:right w:val="single" w:sz="5" w:space="0" w:color="005B52"/>
            </w:tcBorders>
            <w:tcMar>
              <w:top w:w="80" w:type="dxa"/>
              <w:left w:w="120" w:type="dxa"/>
              <w:bottom w:w="80" w:type="dxa"/>
              <w:right w:w="120" w:type="dxa"/>
            </w:tcMar>
          </w:tcPr>
          <w:p w14:paraId="071BB581" w14:textId="77777777" w:rsidR="00031725" w:rsidRDefault="00000000">
            <w:pPr>
              <w:spacing w:before="40" w:after="40"/>
              <w:rPr>
                <w:sz w:val="18"/>
                <w:szCs w:val="18"/>
              </w:rPr>
            </w:pPr>
            <w:r>
              <w:rPr>
                <w:sz w:val="18"/>
                <w:szCs w:val="18"/>
              </w:rPr>
              <w:t>The FAIRness of existing published outputs is assessed against community benchmarks; improvement recommendations are provided</w:t>
            </w:r>
          </w:p>
          <w:p w14:paraId="4ABC46DF" w14:textId="77777777" w:rsidR="00204CC6" w:rsidRDefault="00204CC6">
            <w:pPr>
              <w:spacing w:before="40" w:after="40"/>
              <w:rPr>
                <w:sz w:val="18"/>
                <w:szCs w:val="18"/>
              </w:rPr>
            </w:pPr>
          </w:p>
          <w:p w14:paraId="434427F5" w14:textId="77777777" w:rsidR="00204CC6" w:rsidRDefault="00204CC6">
            <w:pPr>
              <w:spacing w:before="40" w:after="40"/>
              <w:rPr>
                <w:sz w:val="18"/>
                <w:szCs w:val="18"/>
              </w:rPr>
            </w:pPr>
          </w:p>
          <w:p w14:paraId="00000186" w14:textId="77777777" w:rsidR="00204CC6" w:rsidRDefault="00204CC6">
            <w:pPr>
              <w:spacing w:before="40" w:after="40"/>
              <w:rPr>
                <w:sz w:val="18"/>
                <w:szCs w:val="18"/>
              </w:rPr>
            </w:pPr>
          </w:p>
        </w:tc>
        <w:tc>
          <w:tcPr>
            <w:tcW w:w="1410" w:type="dxa"/>
            <w:tcBorders>
              <w:top w:val="nil"/>
              <w:left w:val="nil"/>
              <w:bottom w:val="single" w:sz="5" w:space="0" w:color="005B52"/>
              <w:right w:val="single" w:sz="5" w:space="0" w:color="005B52"/>
            </w:tcBorders>
            <w:tcMar>
              <w:top w:w="80" w:type="dxa"/>
              <w:left w:w="120" w:type="dxa"/>
              <w:bottom w:w="80" w:type="dxa"/>
              <w:right w:w="120" w:type="dxa"/>
            </w:tcMar>
          </w:tcPr>
          <w:p w14:paraId="00000187" w14:textId="77777777" w:rsidR="00031725" w:rsidRDefault="00000000">
            <w:pPr>
              <w:spacing w:before="40" w:after="40"/>
              <w:rPr>
                <w:sz w:val="18"/>
                <w:szCs w:val="18"/>
              </w:rPr>
            </w:pPr>
            <w:r>
              <w:rPr>
                <w:sz w:val="18"/>
                <w:szCs w:val="18"/>
              </w:rPr>
              <w:t>Standards, Quality and Provenance</w:t>
            </w:r>
          </w:p>
        </w:tc>
        <w:tc>
          <w:tcPr>
            <w:tcW w:w="1485" w:type="dxa"/>
            <w:tcBorders>
              <w:top w:val="nil"/>
              <w:left w:val="nil"/>
              <w:bottom w:val="single" w:sz="5" w:space="0" w:color="005B52"/>
              <w:right w:val="single" w:sz="5" w:space="0" w:color="005B52"/>
            </w:tcBorders>
            <w:shd w:val="clear" w:color="auto" w:fill="FFF8E6"/>
            <w:tcMar>
              <w:top w:w="80" w:type="dxa"/>
              <w:left w:w="120" w:type="dxa"/>
              <w:bottom w:w="80" w:type="dxa"/>
              <w:right w:w="120" w:type="dxa"/>
            </w:tcMar>
          </w:tcPr>
          <w:p w14:paraId="00000188" w14:textId="77777777" w:rsidR="00031725" w:rsidRDefault="00000000">
            <w:pPr>
              <w:spacing w:before="40" w:after="40"/>
              <w:rPr>
                <w:b/>
                <w:bCs/>
                <w:color w:val="7F6000"/>
                <w:sz w:val="18"/>
                <w:szCs w:val="18"/>
              </w:rPr>
            </w:pPr>
            <w:r>
              <w:rPr>
                <w:b/>
                <w:bCs/>
                <w:color w:val="7F6000"/>
                <w:sz w:val="18"/>
                <w:szCs w:val="18"/>
              </w:rPr>
              <w:t>Future Consideration</w:t>
            </w:r>
          </w:p>
        </w:tc>
      </w:tr>
      <w:tr w:rsidR="00031725" w14:paraId="05180FC5" w14:textId="77777777">
        <w:trPr>
          <w:trHeight w:val="450"/>
        </w:trPr>
        <w:tc>
          <w:tcPr>
            <w:tcW w:w="9015" w:type="dxa"/>
            <w:gridSpan w:val="5"/>
            <w:tcBorders>
              <w:top w:val="nil"/>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189" w14:textId="77777777" w:rsidR="00031725" w:rsidRDefault="00000000">
            <w:pPr>
              <w:spacing w:before="40" w:after="40"/>
              <w:rPr>
                <w:b/>
                <w:bCs/>
                <w:color w:val="005B52"/>
                <w:sz w:val="18"/>
                <w:szCs w:val="18"/>
              </w:rPr>
            </w:pPr>
            <w:r>
              <w:rPr>
                <w:b/>
                <w:bCs/>
                <w:color w:val="005B52"/>
                <w:sz w:val="18"/>
                <w:szCs w:val="18"/>
              </w:rPr>
              <w:lastRenderedPageBreak/>
              <w:t>7. PROVENANCE AND TRACKING</w:t>
            </w:r>
          </w:p>
        </w:tc>
      </w:tr>
      <w:tr w:rsidR="00031725" w14:paraId="0721AE85" w14:textId="77777777">
        <w:trPr>
          <w:trHeight w:val="870"/>
        </w:trPr>
        <w:tc>
          <w:tcPr>
            <w:tcW w:w="2385" w:type="dxa"/>
            <w:tcBorders>
              <w:top w:val="nil"/>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18E" w14:textId="77777777" w:rsidR="00031725" w:rsidRDefault="00000000">
            <w:pPr>
              <w:spacing w:before="40" w:after="40"/>
              <w:rPr>
                <w:sz w:val="18"/>
                <w:szCs w:val="18"/>
              </w:rPr>
            </w:pPr>
            <w:r>
              <w:rPr>
                <w:sz w:val="18"/>
                <w:szCs w:val="18"/>
              </w:rPr>
              <w:t>Track the provenance chain of AI agent actions on data and metadata</w:t>
            </w:r>
          </w:p>
        </w:tc>
        <w:tc>
          <w:tcPr>
            <w:tcW w:w="1410"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8F" w14:textId="77777777" w:rsidR="00031725" w:rsidRDefault="00000000">
            <w:pPr>
              <w:spacing w:before="40" w:after="40"/>
              <w:rPr>
                <w:sz w:val="18"/>
                <w:szCs w:val="18"/>
              </w:rPr>
            </w:pPr>
            <w:r>
              <w:rPr>
                <w:sz w:val="18"/>
                <w:szCs w:val="18"/>
              </w:rPr>
              <w:t>Researcher, Data Support Professional, Institution</w:t>
            </w:r>
          </w:p>
        </w:tc>
        <w:tc>
          <w:tcPr>
            <w:tcW w:w="2325"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90" w14:textId="77777777" w:rsidR="00031725" w:rsidRDefault="00000000">
            <w:pPr>
              <w:spacing w:before="40" w:after="40"/>
              <w:rPr>
                <w:sz w:val="18"/>
                <w:szCs w:val="18"/>
              </w:rPr>
            </w:pPr>
            <w:r>
              <w:rPr>
                <w:sz w:val="18"/>
                <w:szCs w:val="18"/>
              </w:rPr>
              <w:t>All agent actions are recorded and can be verified and validated</w:t>
            </w:r>
          </w:p>
        </w:tc>
        <w:tc>
          <w:tcPr>
            <w:tcW w:w="1410"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91" w14:textId="77777777" w:rsidR="00031725" w:rsidRDefault="00000000">
            <w:pPr>
              <w:spacing w:before="40" w:after="40"/>
              <w:rPr>
                <w:sz w:val="18"/>
                <w:szCs w:val="18"/>
              </w:rPr>
            </w:pPr>
            <w:r>
              <w:rPr>
                <w:sz w:val="18"/>
                <w:szCs w:val="18"/>
              </w:rPr>
              <w:t>Quality and Provenance, Standards</w:t>
            </w:r>
          </w:p>
        </w:tc>
        <w:tc>
          <w:tcPr>
            <w:tcW w:w="1485" w:type="dxa"/>
            <w:tcBorders>
              <w:top w:val="nil"/>
              <w:left w:val="nil"/>
              <w:bottom w:val="single" w:sz="5" w:space="0" w:color="005B52"/>
              <w:right w:val="single" w:sz="5" w:space="0" w:color="005B52"/>
            </w:tcBorders>
            <w:shd w:val="clear" w:color="auto" w:fill="E2EFDA"/>
            <w:tcMar>
              <w:top w:w="80" w:type="dxa"/>
              <w:left w:w="120" w:type="dxa"/>
              <w:bottom w:w="80" w:type="dxa"/>
              <w:right w:w="120" w:type="dxa"/>
            </w:tcMar>
          </w:tcPr>
          <w:p w14:paraId="00000192" w14:textId="77777777" w:rsidR="00031725" w:rsidRDefault="00000000">
            <w:pPr>
              <w:spacing w:before="40" w:after="40"/>
              <w:rPr>
                <w:b/>
                <w:bCs/>
                <w:color w:val="375623"/>
                <w:sz w:val="18"/>
                <w:szCs w:val="18"/>
              </w:rPr>
            </w:pPr>
            <w:r>
              <w:rPr>
                <w:b/>
                <w:bCs/>
                <w:color w:val="375623"/>
                <w:sz w:val="18"/>
                <w:szCs w:val="18"/>
              </w:rPr>
              <w:t>Confirmed</w:t>
            </w:r>
          </w:p>
        </w:tc>
      </w:tr>
      <w:tr w:rsidR="00031725" w14:paraId="3230CF67" w14:textId="77777777">
        <w:trPr>
          <w:trHeight w:val="1065"/>
        </w:trPr>
        <w:tc>
          <w:tcPr>
            <w:tcW w:w="2385" w:type="dxa"/>
            <w:tcBorders>
              <w:top w:val="nil"/>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193" w14:textId="77777777" w:rsidR="00031725" w:rsidRDefault="00000000">
            <w:pPr>
              <w:spacing w:before="40" w:after="40"/>
              <w:rPr>
                <w:sz w:val="18"/>
                <w:szCs w:val="18"/>
              </w:rPr>
            </w:pPr>
            <w:r>
              <w:rPr>
                <w:sz w:val="18"/>
                <w:szCs w:val="18"/>
              </w:rPr>
              <w:t>Produce provenance records for existing datasets and enable them to be cited and connected to related outputs, so data sources are traceable and credit is attributed</w:t>
            </w:r>
          </w:p>
        </w:tc>
        <w:tc>
          <w:tcPr>
            <w:tcW w:w="1410"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94" w14:textId="77777777" w:rsidR="00031725" w:rsidRDefault="00000000">
            <w:pPr>
              <w:spacing w:before="40" w:after="40"/>
              <w:rPr>
                <w:sz w:val="18"/>
                <w:szCs w:val="18"/>
              </w:rPr>
            </w:pPr>
            <w:r>
              <w:rPr>
                <w:sz w:val="18"/>
                <w:szCs w:val="18"/>
              </w:rPr>
              <w:t>Researcher, Data Support Professional</w:t>
            </w:r>
          </w:p>
        </w:tc>
        <w:tc>
          <w:tcPr>
            <w:tcW w:w="2325"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95" w14:textId="77777777" w:rsidR="00031725" w:rsidRDefault="00000000">
            <w:pPr>
              <w:spacing w:before="40" w:after="40"/>
              <w:rPr>
                <w:sz w:val="18"/>
                <w:szCs w:val="18"/>
              </w:rPr>
            </w:pPr>
            <w:r>
              <w:rPr>
                <w:sz w:val="18"/>
                <w:szCs w:val="18"/>
              </w:rPr>
              <w:t>Data sources are traceable; credit is attributed to the original dataset</w:t>
            </w:r>
          </w:p>
        </w:tc>
        <w:tc>
          <w:tcPr>
            <w:tcW w:w="1410"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96" w14:textId="77777777" w:rsidR="00031725" w:rsidRDefault="00000000">
            <w:pPr>
              <w:spacing w:before="40" w:after="40"/>
              <w:rPr>
                <w:sz w:val="18"/>
                <w:szCs w:val="18"/>
              </w:rPr>
            </w:pPr>
            <w:r>
              <w:rPr>
                <w:sz w:val="18"/>
                <w:szCs w:val="18"/>
              </w:rPr>
              <w:t>Quality and Provenance, Standards</w:t>
            </w:r>
          </w:p>
        </w:tc>
        <w:tc>
          <w:tcPr>
            <w:tcW w:w="1485" w:type="dxa"/>
            <w:tcBorders>
              <w:top w:val="nil"/>
              <w:left w:val="nil"/>
              <w:bottom w:val="single" w:sz="5" w:space="0" w:color="005B52"/>
              <w:right w:val="single" w:sz="5" w:space="0" w:color="005B52"/>
            </w:tcBorders>
            <w:shd w:val="clear" w:color="auto" w:fill="FFF8E6"/>
            <w:tcMar>
              <w:top w:w="80" w:type="dxa"/>
              <w:left w:w="120" w:type="dxa"/>
              <w:bottom w:w="80" w:type="dxa"/>
              <w:right w:w="120" w:type="dxa"/>
            </w:tcMar>
          </w:tcPr>
          <w:p w14:paraId="00000197" w14:textId="77777777" w:rsidR="00031725" w:rsidRDefault="00000000">
            <w:pPr>
              <w:spacing w:before="40" w:after="40"/>
              <w:rPr>
                <w:b/>
                <w:bCs/>
                <w:color w:val="7F6000"/>
                <w:sz w:val="18"/>
                <w:szCs w:val="18"/>
              </w:rPr>
            </w:pPr>
            <w:r>
              <w:rPr>
                <w:b/>
                <w:bCs/>
                <w:color w:val="7F6000"/>
                <w:sz w:val="18"/>
                <w:szCs w:val="18"/>
              </w:rPr>
              <w:t>Future Consideration</w:t>
            </w:r>
          </w:p>
        </w:tc>
      </w:tr>
      <w:tr w:rsidR="00031725" w14:paraId="159166E8" w14:textId="77777777">
        <w:trPr>
          <w:trHeight w:val="1680"/>
        </w:trPr>
        <w:tc>
          <w:tcPr>
            <w:tcW w:w="2385" w:type="dxa"/>
            <w:tcBorders>
              <w:top w:val="nil"/>
              <w:left w:val="single" w:sz="5" w:space="0" w:color="005B52"/>
              <w:bottom w:val="single" w:sz="5" w:space="0" w:color="005B52"/>
              <w:right w:val="single" w:sz="5" w:space="0" w:color="005B52"/>
            </w:tcBorders>
            <w:tcMar>
              <w:top w:w="80" w:type="dxa"/>
              <w:left w:w="120" w:type="dxa"/>
              <w:bottom w:w="80" w:type="dxa"/>
              <w:right w:w="120" w:type="dxa"/>
            </w:tcMar>
          </w:tcPr>
          <w:p w14:paraId="00000198" w14:textId="77777777" w:rsidR="00031725" w:rsidRDefault="00000000">
            <w:pPr>
              <w:spacing w:before="40" w:after="40"/>
              <w:rPr>
                <w:sz w:val="18"/>
                <w:szCs w:val="18"/>
              </w:rPr>
            </w:pPr>
            <w:r>
              <w:rPr>
                <w:sz w:val="18"/>
                <w:szCs w:val="18"/>
              </w:rPr>
              <w:t>Assign persistent identifiers and provenance records to individual data variables so each carries full context including definition, units, and origin, supporting human and machine use</w:t>
            </w:r>
          </w:p>
        </w:tc>
        <w:tc>
          <w:tcPr>
            <w:tcW w:w="1410" w:type="dxa"/>
            <w:tcBorders>
              <w:top w:val="nil"/>
              <w:left w:val="nil"/>
              <w:bottom w:val="single" w:sz="5" w:space="0" w:color="005B52"/>
              <w:right w:val="single" w:sz="5" w:space="0" w:color="005B52"/>
            </w:tcBorders>
            <w:tcMar>
              <w:top w:w="80" w:type="dxa"/>
              <w:left w:w="120" w:type="dxa"/>
              <w:bottom w:w="80" w:type="dxa"/>
              <w:right w:w="120" w:type="dxa"/>
            </w:tcMar>
          </w:tcPr>
          <w:p w14:paraId="00000199" w14:textId="77777777" w:rsidR="00031725" w:rsidRDefault="00000000">
            <w:pPr>
              <w:spacing w:before="40" w:after="40"/>
              <w:rPr>
                <w:sz w:val="18"/>
                <w:szCs w:val="18"/>
              </w:rPr>
            </w:pPr>
            <w:r>
              <w:rPr>
                <w:sz w:val="18"/>
                <w:szCs w:val="18"/>
              </w:rPr>
              <w:t>Researcher, Data Support Professional</w:t>
            </w:r>
          </w:p>
        </w:tc>
        <w:tc>
          <w:tcPr>
            <w:tcW w:w="2325" w:type="dxa"/>
            <w:tcBorders>
              <w:top w:val="nil"/>
              <w:left w:val="nil"/>
              <w:bottom w:val="single" w:sz="5" w:space="0" w:color="005B52"/>
              <w:right w:val="single" w:sz="5" w:space="0" w:color="005B52"/>
            </w:tcBorders>
            <w:tcMar>
              <w:top w:w="80" w:type="dxa"/>
              <w:left w:w="120" w:type="dxa"/>
              <w:bottom w:w="80" w:type="dxa"/>
              <w:right w:w="120" w:type="dxa"/>
            </w:tcMar>
          </w:tcPr>
          <w:p w14:paraId="0000019A" w14:textId="77777777" w:rsidR="00031725" w:rsidRDefault="00000000">
            <w:pPr>
              <w:spacing w:before="40" w:after="40"/>
              <w:rPr>
                <w:sz w:val="18"/>
                <w:szCs w:val="18"/>
              </w:rPr>
            </w:pPr>
            <w:r>
              <w:rPr>
                <w:sz w:val="18"/>
                <w:szCs w:val="18"/>
              </w:rPr>
              <w:t>Individual variables are identifiable, citable, and carry full contextual provenance including definition, units, properties, and relationships</w:t>
            </w:r>
          </w:p>
        </w:tc>
        <w:tc>
          <w:tcPr>
            <w:tcW w:w="1410" w:type="dxa"/>
            <w:tcBorders>
              <w:top w:val="nil"/>
              <w:left w:val="nil"/>
              <w:bottom w:val="single" w:sz="5" w:space="0" w:color="005B52"/>
              <w:right w:val="single" w:sz="5" w:space="0" w:color="005B52"/>
            </w:tcBorders>
            <w:tcMar>
              <w:top w:w="80" w:type="dxa"/>
              <w:left w:w="120" w:type="dxa"/>
              <w:bottom w:w="80" w:type="dxa"/>
              <w:right w:w="120" w:type="dxa"/>
            </w:tcMar>
          </w:tcPr>
          <w:p w14:paraId="0000019B" w14:textId="77777777" w:rsidR="00031725" w:rsidRDefault="00000000">
            <w:pPr>
              <w:spacing w:before="40" w:after="40"/>
              <w:rPr>
                <w:sz w:val="18"/>
                <w:szCs w:val="18"/>
              </w:rPr>
            </w:pPr>
            <w:r>
              <w:rPr>
                <w:sz w:val="18"/>
                <w:szCs w:val="18"/>
              </w:rPr>
              <w:t>Quality and Provenance, Standards</w:t>
            </w:r>
          </w:p>
        </w:tc>
        <w:tc>
          <w:tcPr>
            <w:tcW w:w="1485" w:type="dxa"/>
            <w:tcBorders>
              <w:top w:val="nil"/>
              <w:left w:val="nil"/>
              <w:bottom w:val="single" w:sz="5" w:space="0" w:color="005B52"/>
              <w:right w:val="single" w:sz="5" w:space="0" w:color="005B52"/>
            </w:tcBorders>
            <w:shd w:val="clear" w:color="auto" w:fill="FFF8E6"/>
            <w:tcMar>
              <w:top w:w="80" w:type="dxa"/>
              <w:left w:w="120" w:type="dxa"/>
              <w:bottom w:w="80" w:type="dxa"/>
              <w:right w:w="120" w:type="dxa"/>
            </w:tcMar>
          </w:tcPr>
          <w:p w14:paraId="0000019C" w14:textId="77777777" w:rsidR="00031725" w:rsidRDefault="00000000">
            <w:pPr>
              <w:spacing w:before="40" w:after="40"/>
              <w:rPr>
                <w:b/>
                <w:bCs/>
                <w:color w:val="7F6000"/>
                <w:sz w:val="18"/>
                <w:szCs w:val="18"/>
              </w:rPr>
            </w:pPr>
            <w:r>
              <w:rPr>
                <w:b/>
                <w:bCs/>
                <w:color w:val="7F6000"/>
                <w:sz w:val="18"/>
                <w:szCs w:val="18"/>
              </w:rPr>
              <w:t>Future Consideration</w:t>
            </w:r>
          </w:p>
        </w:tc>
      </w:tr>
      <w:tr w:rsidR="00031725" w14:paraId="06258683" w14:textId="77777777">
        <w:trPr>
          <w:trHeight w:val="1680"/>
        </w:trPr>
        <w:tc>
          <w:tcPr>
            <w:tcW w:w="2385" w:type="dxa"/>
            <w:tcBorders>
              <w:top w:val="nil"/>
              <w:left w:val="single" w:sz="5" w:space="0" w:color="005B52"/>
              <w:bottom w:val="single" w:sz="5" w:space="0" w:color="005B52"/>
              <w:right w:val="single" w:sz="5" w:space="0" w:color="005B52"/>
            </w:tcBorders>
            <w:tcMar>
              <w:top w:w="80" w:type="dxa"/>
              <w:left w:w="120" w:type="dxa"/>
              <w:bottom w:w="80" w:type="dxa"/>
              <w:right w:w="120" w:type="dxa"/>
            </w:tcMar>
          </w:tcPr>
          <w:p w14:paraId="0000019D" w14:textId="77777777" w:rsidR="00031725" w:rsidRDefault="00000000">
            <w:pPr>
              <w:spacing w:before="40" w:after="40"/>
              <w:rPr>
                <w:sz w:val="18"/>
                <w:szCs w:val="18"/>
              </w:rPr>
            </w:pPr>
            <w:r>
              <w:rPr>
                <w:sz w:val="18"/>
                <w:szCs w:val="18"/>
              </w:rPr>
              <w:t>Digitally sign large language model prompts and verified question and answer pairs to record ownership and provenance of AI-generated content</w:t>
            </w:r>
          </w:p>
        </w:tc>
        <w:tc>
          <w:tcPr>
            <w:tcW w:w="1410" w:type="dxa"/>
            <w:tcBorders>
              <w:top w:val="nil"/>
              <w:left w:val="nil"/>
              <w:bottom w:val="single" w:sz="5" w:space="0" w:color="005B52"/>
              <w:right w:val="single" w:sz="5" w:space="0" w:color="005B52"/>
            </w:tcBorders>
            <w:tcMar>
              <w:top w:w="80" w:type="dxa"/>
              <w:left w:w="120" w:type="dxa"/>
              <w:bottom w:w="80" w:type="dxa"/>
              <w:right w:w="120" w:type="dxa"/>
            </w:tcMar>
          </w:tcPr>
          <w:p w14:paraId="0000019E" w14:textId="77777777" w:rsidR="00031725" w:rsidRDefault="00000000">
            <w:pPr>
              <w:spacing w:before="40" w:after="40"/>
              <w:rPr>
                <w:sz w:val="18"/>
                <w:szCs w:val="18"/>
              </w:rPr>
            </w:pPr>
            <w:r>
              <w:rPr>
                <w:sz w:val="18"/>
                <w:szCs w:val="18"/>
              </w:rPr>
              <w:t>Researcher, Data Support Professional</w:t>
            </w:r>
          </w:p>
        </w:tc>
        <w:tc>
          <w:tcPr>
            <w:tcW w:w="2325" w:type="dxa"/>
            <w:tcBorders>
              <w:top w:val="nil"/>
              <w:left w:val="nil"/>
              <w:bottom w:val="single" w:sz="5" w:space="0" w:color="005B52"/>
              <w:right w:val="single" w:sz="5" w:space="0" w:color="005B52"/>
            </w:tcBorders>
            <w:tcMar>
              <w:top w:w="80" w:type="dxa"/>
              <w:left w:w="120" w:type="dxa"/>
              <w:bottom w:w="80" w:type="dxa"/>
              <w:right w:w="120" w:type="dxa"/>
            </w:tcMar>
          </w:tcPr>
          <w:p w14:paraId="0000019F" w14:textId="77777777" w:rsidR="00031725" w:rsidRDefault="00000000">
            <w:pPr>
              <w:spacing w:before="40" w:after="40"/>
              <w:rPr>
                <w:sz w:val="18"/>
                <w:szCs w:val="18"/>
              </w:rPr>
            </w:pPr>
            <w:r>
              <w:rPr>
                <w:sz w:val="18"/>
                <w:szCs w:val="18"/>
              </w:rPr>
              <w:t>AI-generated content is traceable to its source prompt; ownership is recorded with persistent identifiers; verified human-approved outputs are signed and auditable</w:t>
            </w:r>
          </w:p>
        </w:tc>
        <w:tc>
          <w:tcPr>
            <w:tcW w:w="1410" w:type="dxa"/>
            <w:tcBorders>
              <w:top w:val="nil"/>
              <w:left w:val="nil"/>
              <w:bottom w:val="single" w:sz="5" w:space="0" w:color="005B52"/>
              <w:right w:val="single" w:sz="5" w:space="0" w:color="005B52"/>
            </w:tcBorders>
            <w:tcMar>
              <w:top w:w="80" w:type="dxa"/>
              <w:left w:w="120" w:type="dxa"/>
              <w:bottom w:w="80" w:type="dxa"/>
              <w:right w:w="120" w:type="dxa"/>
            </w:tcMar>
          </w:tcPr>
          <w:p w14:paraId="000001A0" w14:textId="77777777" w:rsidR="00031725" w:rsidRDefault="00000000">
            <w:pPr>
              <w:spacing w:before="40" w:after="40"/>
              <w:rPr>
                <w:sz w:val="18"/>
                <w:szCs w:val="18"/>
              </w:rPr>
            </w:pPr>
            <w:r>
              <w:rPr>
                <w:sz w:val="18"/>
                <w:szCs w:val="18"/>
              </w:rPr>
              <w:t>Quality and Provenance</w:t>
            </w:r>
          </w:p>
        </w:tc>
        <w:tc>
          <w:tcPr>
            <w:tcW w:w="1485" w:type="dxa"/>
            <w:tcBorders>
              <w:top w:val="nil"/>
              <w:left w:val="nil"/>
              <w:bottom w:val="single" w:sz="5" w:space="0" w:color="005B52"/>
              <w:right w:val="single" w:sz="5" w:space="0" w:color="005B52"/>
            </w:tcBorders>
            <w:shd w:val="clear" w:color="auto" w:fill="FFF8E6"/>
            <w:tcMar>
              <w:top w:w="80" w:type="dxa"/>
              <w:left w:w="120" w:type="dxa"/>
              <w:bottom w:w="80" w:type="dxa"/>
              <w:right w:w="120" w:type="dxa"/>
            </w:tcMar>
          </w:tcPr>
          <w:p w14:paraId="000001A1" w14:textId="77777777" w:rsidR="00031725" w:rsidRDefault="00000000">
            <w:pPr>
              <w:spacing w:before="40" w:after="40"/>
              <w:rPr>
                <w:b/>
                <w:bCs/>
                <w:color w:val="7F6000"/>
                <w:sz w:val="18"/>
                <w:szCs w:val="18"/>
              </w:rPr>
            </w:pPr>
            <w:r>
              <w:rPr>
                <w:b/>
                <w:bCs/>
                <w:color w:val="7F6000"/>
                <w:sz w:val="18"/>
                <w:szCs w:val="18"/>
              </w:rPr>
              <w:t>Future Consideration</w:t>
            </w:r>
          </w:p>
        </w:tc>
      </w:tr>
      <w:tr w:rsidR="00031725" w14:paraId="68A5F3DA" w14:textId="77777777">
        <w:trPr>
          <w:trHeight w:val="450"/>
        </w:trPr>
        <w:tc>
          <w:tcPr>
            <w:tcW w:w="9015" w:type="dxa"/>
            <w:gridSpan w:val="5"/>
            <w:tcBorders>
              <w:top w:val="nil"/>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1A2" w14:textId="77777777" w:rsidR="00031725" w:rsidRDefault="00000000">
            <w:pPr>
              <w:spacing w:before="40" w:after="40"/>
              <w:rPr>
                <w:b/>
                <w:bCs/>
                <w:color w:val="005B52"/>
                <w:sz w:val="18"/>
                <w:szCs w:val="18"/>
              </w:rPr>
            </w:pPr>
            <w:r>
              <w:rPr>
                <w:b/>
                <w:bCs/>
                <w:color w:val="005B52"/>
                <w:sz w:val="18"/>
                <w:szCs w:val="18"/>
              </w:rPr>
              <w:t>8. DISCOVERY AND LINKING</w:t>
            </w:r>
          </w:p>
        </w:tc>
      </w:tr>
      <w:tr w:rsidR="00031725" w14:paraId="4188EF1A" w14:textId="77777777">
        <w:trPr>
          <w:trHeight w:val="1470"/>
        </w:trPr>
        <w:tc>
          <w:tcPr>
            <w:tcW w:w="2385" w:type="dxa"/>
            <w:tcBorders>
              <w:top w:val="nil"/>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1A7" w14:textId="77777777" w:rsidR="00031725" w:rsidRDefault="00000000">
            <w:pPr>
              <w:spacing w:before="40" w:after="40"/>
              <w:rPr>
                <w:sz w:val="18"/>
                <w:szCs w:val="18"/>
              </w:rPr>
            </w:pPr>
            <w:r>
              <w:rPr>
                <w:sz w:val="18"/>
                <w:szCs w:val="18"/>
              </w:rPr>
              <w:t>Link datasets to related research outputs such as journal article publications, people, grants and software at the point of publication</w:t>
            </w:r>
          </w:p>
        </w:tc>
        <w:tc>
          <w:tcPr>
            <w:tcW w:w="1410"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A8" w14:textId="77777777" w:rsidR="00031725" w:rsidRDefault="00000000">
            <w:pPr>
              <w:spacing w:before="40" w:after="40"/>
              <w:rPr>
                <w:sz w:val="18"/>
                <w:szCs w:val="18"/>
              </w:rPr>
            </w:pPr>
            <w:r>
              <w:rPr>
                <w:sz w:val="18"/>
                <w:szCs w:val="18"/>
              </w:rPr>
              <w:t>Researcher, Data Support Professional, Institution</w:t>
            </w:r>
          </w:p>
        </w:tc>
        <w:tc>
          <w:tcPr>
            <w:tcW w:w="2325"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A9" w14:textId="77777777" w:rsidR="00031725" w:rsidRDefault="00000000">
            <w:pPr>
              <w:spacing w:before="40" w:after="40"/>
              <w:rPr>
                <w:sz w:val="18"/>
                <w:szCs w:val="18"/>
              </w:rPr>
            </w:pPr>
            <w:r>
              <w:rPr>
                <w:sz w:val="18"/>
                <w:szCs w:val="18"/>
              </w:rPr>
              <w:t>Persistent links are established; richer reporting across research assets; more contextual discovery of outputs</w:t>
            </w:r>
          </w:p>
        </w:tc>
        <w:tc>
          <w:tcPr>
            <w:tcW w:w="1410"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AA" w14:textId="77777777" w:rsidR="00031725" w:rsidRDefault="00000000">
            <w:pPr>
              <w:spacing w:before="40" w:after="40"/>
              <w:rPr>
                <w:sz w:val="18"/>
                <w:szCs w:val="18"/>
              </w:rPr>
            </w:pPr>
            <w:r>
              <w:rPr>
                <w:sz w:val="18"/>
                <w:szCs w:val="18"/>
              </w:rPr>
              <w:t>Standards, Support</w:t>
            </w:r>
          </w:p>
        </w:tc>
        <w:tc>
          <w:tcPr>
            <w:tcW w:w="1485" w:type="dxa"/>
            <w:tcBorders>
              <w:top w:val="nil"/>
              <w:left w:val="nil"/>
              <w:bottom w:val="single" w:sz="5" w:space="0" w:color="005B52"/>
              <w:right w:val="single" w:sz="5" w:space="0" w:color="005B52"/>
            </w:tcBorders>
            <w:shd w:val="clear" w:color="auto" w:fill="E2EFDA"/>
            <w:tcMar>
              <w:top w:w="80" w:type="dxa"/>
              <w:left w:w="120" w:type="dxa"/>
              <w:bottom w:w="80" w:type="dxa"/>
              <w:right w:w="120" w:type="dxa"/>
            </w:tcMar>
          </w:tcPr>
          <w:p w14:paraId="000001AB" w14:textId="77777777" w:rsidR="00031725" w:rsidRDefault="00000000">
            <w:pPr>
              <w:spacing w:before="40" w:after="40"/>
              <w:rPr>
                <w:b/>
                <w:bCs/>
                <w:color w:val="375623"/>
                <w:sz w:val="18"/>
                <w:szCs w:val="18"/>
              </w:rPr>
            </w:pPr>
            <w:r>
              <w:rPr>
                <w:b/>
                <w:bCs/>
                <w:color w:val="375623"/>
                <w:sz w:val="18"/>
                <w:szCs w:val="18"/>
              </w:rPr>
              <w:t>Confirmed</w:t>
            </w:r>
          </w:p>
        </w:tc>
      </w:tr>
      <w:tr w:rsidR="00031725" w14:paraId="3D498A6B" w14:textId="77777777">
        <w:trPr>
          <w:trHeight w:val="1470"/>
        </w:trPr>
        <w:tc>
          <w:tcPr>
            <w:tcW w:w="2385" w:type="dxa"/>
            <w:tcBorders>
              <w:top w:val="nil"/>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1AC" w14:textId="77777777" w:rsidR="00031725" w:rsidRDefault="00000000">
            <w:pPr>
              <w:spacing w:before="40" w:after="40"/>
              <w:rPr>
                <w:sz w:val="18"/>
                <w:szCs w:val="18"/>
              </w:rPr>
            </w:pPr>
            <w:r>
              <w:rPr>
                <w:sz w:val="18"/>
                <w:szCs w:val="18"/>
              </w:rPr>
              <w:t>Discover related datasets relevant to a research project</w:t>
            </w:r>
          </w:p>
        </w:tc>
        <w:tc>
          <w:tcPr>
            <w:tcW w:w="1410"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AD" w14:textId="77777777" w:rsidR="00031725" w:rsidRDefault="00000000">
            <w:pPr>
              <w:spacing w:before="40" w:after="40"/>
              <w:rPr>
                <w:sz w:val="18"/>
                <w:szCs w:val="18"/>
              </w:rPr>
            </w:pPr>
            <w:r>
              <w:rPr>
                <w:sz w:val="18"/>
                <w:szCs w:val="18"/>
              </w:rPr>
              <w:t>Researcher</w:t>
            </w:r>
          </w:p>
        </w:tc>
        <w:tc>
          <w:tcPr>
            <w:tcW w:w="2325"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AE" w14:textId="77777777" w:rsidR="00031725" w:rsidRDefault="00000000">
            <w:pPr>
              <w:spacing w:before="40" w:after="40"/>
              <w:rPr>
                <w:sz w:val="18"/>
                <w:szCs w:val="18"/>
              </w:rPr>
            </w:pPr>
            <w:r>
              <w:rPr>
                <w:sz w:val="18"/>
                <w:szCs w:val="18"/>
              </w:rPr>
              <w:t>Relevant data is surfaced quickly without relying on general-purpose search engines; discovery does not affect existing metadata</w:t>
            </w:r>
          </w:p>
        </w:tc>
        <w:tc>
          <w:tcPr>
            <w:tcW w:w="1410"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AF" w14:textId="77777777" w:rsidR="00031725" w:rsidRDefault="00000000">
            <w:pPr>
              <w:spacing w:before="40" w:after="40"/>
              <w:rPr>
                <w:sz w:val="18"/>
                <w:szCs w:val="18"/>
              </w:rPr>
            </w:pPr>
            <w:r>
              <w:rPr>
                <w:sz w:val="18"/>
                <w:szCs w:val="18"/>
              </w:rPr>
              <w:t>Standards, Support</w:t>
            </w:r>
          </w:p>
        </w:tc>
        <w:tc>
          <w:tcPr>
            <w:tcW w:w="1485" w:type="dxa"/>
            <w:tcBorders>
              <w:top w:val="nil"/>
              <w:left w:val="nil"/>
              <w:bottom w:val="single" w:sz="5" w:space="0" w:color="005B52"/>
              <w:right w:val="single" w:sz="5" w:space="0" w:color="005B52"/>
            </w:tcBorders>
            <w:shd w:val="clear" w:color="auto" w:fill="E2EFDA"/>
            <w:tcMar>
              <w:top w:w="80" w:type="dxa"/>
              <w:left w:w="120" w:type="dxa"/>
              <w:bottom w:w="80" w:type="dxa"/>
              <w:right w:w="120" w:type="dxa"/>
            </w:tcMar>
          </w:tcPr>
          <w:p w14:paraId="000001B0" w14:textId="77777777" w:rsidR="00031725" w:rsidRDefault="00000000">
            <w:pPr>
              <w:spacing w:before="40" w:after="40"/>
              <w:rPr>
                <w:b/>
                <w:bCs/>
                <w:color w:val="375623"/>
                <w:sz w:val="18"/>
                <w:szCs w:val="18"/>
              </w:rPr>
            </w:pPr>
            <w:r>
              <w:rPr>
                <w:b/>
                <w:bCs/>
                <w:color w:val="375623"/>
                <w:sz w:val="18"/>
                <w:szCs w:val="18"/>
              </w:rPr>
              <w:t>Confirmed</w:t>
            </w:r>
          </w:p>
        </w:tc>
      </w:tr>
      <w:tr w:rsidR="00031725" w14:paraId="494FF9C5" w14:textId="77777777">
        <w:trPr>
          <w:trHeight w:val="1680"/>
        </w:trPr>
        <w:tc>
          <w:tcPr>
            <w:tcW w:w="2385" w:type="dxa"/>
            <w:tcBorders>
              <w:top w:val="nil"/>
              <w:left w:val="single" w:sz="5" w:space="0" w:color="005B52"/>
              <w:bottom w:val="single" w:sz="5" w:space="0" w:color="005B52"/>
              <w:right w:val="single" w:sz="5" w:space="0" w:color="005B52"/>
            </w:tcBorders>
            <w:tcMar>
              <w:top w:w="80" w:type="dxa"/>
              <w:left w:w="120" w:type="dxa"/>
              <w:bottom w:w="80" w:type="dxa"/>
              <w:right w:w="120" w:type="dxa"/>
            </w:tcMar>
          </w:tcPr>
          <w:p w14:paraId="000001B1" w14:textId="77777777" w:rsidR="00031725" w:rsidRDefault="00000000">
            <w:pPr>
              <w:spacing w:before="40" w:after="40"/>
              <w:rPr>
                <w:sz w:val="18"/>
                <w:szCs w:val="18"/>
              </w:rPr>
            </w:pPr>
            <w:r>
              <w:rPr>
                <w:sz w:val="18"/>
                <w:szCs w:val="18"/>
              </w:rPr>
              <w:lastRenderedPageBreak/>
              <w:t>Include data citations in related journal article publications and record the relationship between a dataset and its associated publication in the metadata</w:t>
            </w:r>
          </w:p>
        </w:tc>
        <w:tc>
          <w:tcPr>
            <w:tcW w:w="1410" w:type="dxa"/>
            <w:tcBorders>
              <w:top w:val="nil"/>
              <w:left w:val="nil"/>
              <w:bottom w:val="single" w:sz="5" w:space="0" w:color="005B52"/>
              <w:right w:val="single" w:sz="5" w:space="0" w:color="005B52"/>
            </w:tcBorders>
            <w:tcMar>
              <w:top w:w="80" w:type="dxa"/>
              <w:left w:w="120" w:type="dxa"/>
              <w:bottom w:w="80" w:type="dxa"/>
              <w:right w:w="120" w:type="dxa"/>
            </w:tcMar>
          </w:tcPr>
          <w:p w14:paraId="000001B2" w14:textId="77777777" w:rsidR="00031725" w:rsidRDefault="00000000">
            <w:pPr>
              <w:spacing w:before="40" w:after="40"/>
              <w:rPr>
                <w:sz w:val="18"/>
                <w:szCs w:val="18"/>
              </w:rPr>
            </w:pPr>
            <w:r>
              <w:rPr>
                <w:sz w:val="18"/>
                <w:szCs w:val="18"/>
              </w:rPr>
              <w:t>Researcher, Data Support Professional</w:t>
            </w:r>
          </w:p>
        </w:tc>
        <w:tc>
          <w:tcPr>
            <w:tcW w:w="2325" w:type="dxa"/>
            <w:tcBorders>
              <w:top w:val="nil"/>
              <w:left w:val="nil"/>
              <w:bottom w:val="single" w:sz="5" w:space="0" w:color="005B52"/>
              <w:right w:val="single" w:sz="5" w:space="0" w:color="005B52"/>
            </w:tcBorders>
            <w:tcMar>
              <w:top w:w="80" w:type="dxa"/>
              <w:left w:w="120" w:type="dxa"/>
              <w:bottom w:w="80" w:type="dxa"/>
              <w:right w:w="120" w:type="dxa"/>
            </w:tcMar>
          </w:tcPr>
          <w:p w14:paraId="000001B3" w14:textId="6C351E5B" w:rsidR="00031725" w:rsidRDefault="00000000">
            <w:pPr>
              <w:spacing w:before="40" w:after="40"/>
              <w:rPr>
                <w:sz w:val="18"/>
                <w:szCs w:val="18"/>
              </w:rPr>
            </w:pPr>
            <w:r>
              <w:rPr>
                <w:sz w:val="18"/>
                <w:szCs w:val="18"/>
              </w:rPr>
              <w:t>Datasets are linked to related journal article publications using metadata properties such as IsReferencedBy and IsSupplementTo; where the article cannot be updated, the relationship is recorded in the dataset metadata</w:t>
            </w:r>
          </w:p>
        </w:tc>
        <w:tc>
          <w:tcPr>
            <w:tcW w:w="1410" w:type="dxa"/>
            <w:tcBorders>
              <w:top w:val="nil"/>
              <w:left w:val="nil"/>
              <w:bottom w:val="single" w:sz="5" w:space="0" w:color="005B52"/>
              <w:right w:val="single" w:sz="5" w:space="0" w:color="005B52"/>
            </w:tcBorders>
            <w:tcMar>
              <w:top w:w="80" w:type="dxa"/>
              <w:left w:w="120" w:type="dxa"/>
              <w:bottom w:w="80" w:type="dxa"/>
              <w:right w:w="120" w:type="dxa"/>
            </w:tcMar>
          </w:tcPr>
          <w:p w14:paraId="000001B4" w14:textId="77777777" w:rsidR="00031725" w:rsidRDefault="00000000">
            <w:pPr>
              <w:spacing w:before="40" w:after="40"/>
              <w:rPr>
                <w:sz w:val="18"/>
                <w:szCs w:val="18"/>
              </w:rPr>
            </w:pPr>
            <w:r>
              <w:rPr>
                <w:sz w:val="18"/>
                <w:szCs w:val="18"/>
              </w:rPr>
              <w:t>Standards, Support</w:t>
            </w:r>
          </w:p>
        </w:tc>
        <w:tc>
          <w:tcPr>
            <w:tcW w:w="1485" w:type="dxa"/>
            <w:tcBorders>
              <w:top w:val="nil"/>
              <w:left w:val="nil"/>
              <w:bottom w:val="single" w:sz="5" w:space="0" w:color="005B52"/>
              <w:right w:val="single" w:sz="5" w:space="0" w:color="005B52"/>
            </w:tcBorders>
            <w:shd w:val="clear" w:color="auto" w:fill="FFF8E6"/>
            <w:tcMar>
              <w:top w:w="80" w:type="dxa"/>
              <w:left w:w="120" w:type="dxa"/>
              <w:bottom w:w="80" w:type="dxa"/>
              <w:right w:w="120" w:type="dxa"/>
            </w:tcMar>
          </w:tcPr>
          <w:p w14:paraId="000001B5" w14:textId="77777777" w:rsidR="00031725" w:rsidRDefault="00000000">
            <w:pPr>
              <w:spacing w:before="40" w:after="40"/>
              <w:rPr>
                <w:b/>
                <w:bCs/>
                <w:color w:val="7F6000"/>
                <w:sz w:val="18"/>
                <w:szCs w:val="18"/>
              </w:rPr>
            </w:pPr>
            <w:r>
              <w:rPr>
                <w:b/>
                <w:bCs/>
                <w:color w:val="7F6000"/>
                <w:sz w:val="18"/>
                <w:szCs w:val="18"/>
              </w:rPr>
              <w:t>Future Consideration</w:t>
            </w:r>
          </w:p>
        </w:tc>
      </w:tr>
      <w:tr w:rsidR="00031725" w14:paraId="1C2DDEAC" w14:textId="77777777">
        <w:trPr>
          <w:trHeight w:val="1275"/>
        </w:trPr>
        <w:tc>
          <w:tcPr>
            <w:tcW w:w="2385" w:type="dxa"/>
            <w:tcBorders>
              <w:top w:val="nil"/>
              <w:left w:val="single" w:sz="5" w:space="0" w:color="005B52"/>
              <w:bottom w:val="single" w:sz="5" w:space="0" w:color="005B52"/>
              <w:right w:val="single" w:sz="5" w:space="0" w:color="005B52"/>
            </w:tcBorders>
            <w:tcMar>
              <w:top w:w="80" w:type="dxa"/>
              <w:left w:w="120" w:type="dxa"/>
              <w:bottom w:w="80" w:type="dxa"/>
              <w:right w:w="120" w:type="dxa"/>
            </w:tcMar>
          </w:tcPr>
          <w:p w14:paraId="000001B6" w14:textId="77777777" w:rsidR="00031725" w:rsidRDefault="00000000">
            <w:pPr>
              <w:spacing w:before="40" w:after="40"/>
              <w:rPr>
                <w:sz w:val="18"/>
                <w:szCs w:val="18"/>
              </w:rPr>
            </w:pPr>
            <w:r>
              <w:rPr>
                <w:sz w:val="18"/>
                <w:szCs w:val="18"/>
              </w:rPr>
              <w:t>Record deposit in institutional systems such as Current Research Information Systems (CRIS)</w:t>
            </w:r>
          </w:p>
        </w:tc>
        <w:tc>
          <w:tcPr>
            <w:tcW w:w="1410" w:type="dxa"/>
            <w:tcBorders>
              <w:top w:val="nil"/>
              <w:left w:val="nil"/>
              <w:bottom w:val="single" w:sz="5" w:space="0" w:color="005B52"/>
              <w:right w:val="single" w:sz="5" w:space="0" w:color="005B52"/>
            </w:tcBorders>
            <w:tcMar>
              <w:top w:w="80" w:type="dxa"/>
              <w:left w:w="120" w:type="dxa"/>
              <w:bottom w:w="80" w:type="dxa"/>
              <w:right w:w="120" w:type="dxa"/>
            </w:tcMar>
          </w:tcPr>
          <w:p w14:paraId="000001B7" w14:textId="77777777" w:rsidR="00031725" w:rsidRDefault="00000000">
            <w:pPr>
              <w:spacing w:before="40" w:after="40"/>
              <w:rPr>
                <w:sz w:val="18"/>
                <w:szCs w:val="18"/>
              </w:rPr>
            </w:pPr>
            <w:r>
              <w:rPr>
                <w:sz w:val="18"/>
                <w:szCs w:val="18"/>
              </w:rPr>
              <w:t>Researcher, Data Support Professional, Institution</w:t>
            </w:r>
          </w:p>
        </w:tc>
        <w:tc>
          <w:tcPr>
            <w:tcW w:w="2325" w:type="dxa"/>
            <w:tcBorders>
              <w:top w:val="nil"/>
              <w:left w:val="nil"/>
              <w:bottom w:val="single" w:sz="5" w:space="0" w:color="005B52"/>
              <w:right w:val="single" w:sz="5" w:space="0" w:color="005B52"/>
            </w:tcBorders>
            <w:tcMar>
              <w:top w:w="80" w:type="dxa"/>
              <w:left w:w="120" w:type="dxa"/>
              <w:bottom w:w="80" w:type="dxa"/>
              <w:right w:w="120" w:type="dxa"/>
            </w:tcMar>
          </w:tcPr>
          <w:p w14:paraId="000001B8" w14:textId="77777777" w:rsidR="00031725" w:rsidRDefault="00000000">
            <w:pPr>
              <w:spacing w:before="40" w:after="40"/>
              <w:rPr>
                <w:sz w:val="18"/>
                <w:szCs w:val="18"/>
              </w:rPr>
            </w:pPr>
            <w:r>
              <w:rPr>
                <w:sz w:val="18"/>
                <w:szCs w:val="18"/>
              </w:rPr>
              <w:t>Deposit is recorded in the relevant institutional Current Research Information System (CRIS), supporting institutional reporting on research outputs and activities</w:t>
            </w:r>
          </w:p>
        </w:tc>
        <w:tc>
          <w:tcPr>
            <w:tcW w:w="1410" w:type="dxa"/>
            <w:tcBorders>
              <w:top w:val="nil"/>
              <w:left w:val="nil"/>
              <w:bottom w:val="single" w:sz="5" w:space="0" w:color="005B52"/>
              <w:right w:val="single" w:sz="5" w:space="0" w:color="005B52"/>
            </w:tcBorders>
            <w:tcMar>
              <w:top w:w="80" w:type="dxa"/>
              <w:left w:w="120" w:type="dxa"/>
              <w:bottom w:w="80" w:type="dxa"/>
              <w:right w:w="120" w:type="dxa"/>
            </w:tcMar>
          </w:tcPr>
          <w:p w14:paraId="000001B9" w14:textId="77777777" w:rsidR="00031725" w:rsidRDefault="00000000">
            <w:pPr>
              <w:spacing w:before="40" w:after="40"/>
              <w:rPr>
                <w:sz w:val="18"/>
                <w:szCs w:val="18"/>
              </w:rPr>
            </w:pPr>
            <w:r>
              <w:rPr>
                <w:sz w:val="18"/>
                <w:szCs w:val="18"/>
              </w:rPr>
              <w:t>Policy, Support</w:t>
            </w:r>
          </w:p>
        </w:tc>
        <w:tc>
          <w:tcPr>
            <w:tcW w:w="1485" w:type="dxa"/>
            <w:tcBorders>
              <w:top w:val="nil"/>
              <w:left w:val="nil"/>
              <w:bottom w:val="single" w:sz="5" w:space="0" w:color="005B52"/>
              <w:right w:val="single" w:sz="5" w:space="0" w:color="005B52"/>
            </w:tcBorders>
            <w:shd w:val="clear" w:color="auto" w:fill="FFF8E6"/>
            <w:tcMar>
              <w:top w:w="80" w:type="dxa"/>
              <w:left w:w="120" w:type="dxa"/>
              <w:bottom w:w="80" w:type="dxa"/>
              <w:right w:w="120" w:type="dxa"/>
            </w:tcMar>
          </w:tcPr>
          <w:p w14:paraId="000001BA" w14:textId="77777777" w:rsidR="00031725" w:rsidRDefault="00000000">
            <w:pPr>
              <w:spacing w:before="40" w:after="40"/>
              <w:rPr>
                <w:b/>
                <w:bCs/>
                <w:color w:val="7F6000"/>
                <w:sz w:val="18"/>
                <w:szCs w:val="18"/>
              </w:rPr>
            </w:pPr>
            <w:r>
              <w:rPr>
                <w:b/>
                <w:bCs/>
                <w:color w:val="7F6000"/>
                <w:sz w:val="18"/>
                <w:szCs w:val="18"/>
              </w:rPr>
              <w:t>Future Consideration</w:t>
            </w:r>
          </w:p>
        </w:tc>
      </w:tr>
      <w:tr w:rsidR="00031725" w14:paraId="26C439BD" w14:textId="77777777">
        <w:trPr>
          <w:trHeight w:val="1890"/>
        </w:trPr>
        <w:tc>
          <w:tcPr>
            <w:tcW w:w="2385" w:type="dxa"/>
            <w:tcBorders>
              <w:top w:val="nil"/>
              <w:left w:val="single" w:sz="5" w:space="0" w:color="005B52"/>
              <w:bottom w:val="single" w:sz="5" w:space="0" w:color="005B52"/>
              <w:right w:val="single" w:sz="5" w:space="0" w:color="005B52"/>
            </w:tcBorders>
            <w:tcMar>
              <w:top w:w="80" w:type="dxa"/>
              <w:left w:w="120" w:type="dxa"/>
              <w:bottom w:w="80" w:type="dxa"/>
              <w:right w:w="120" w:type="dxa"/>
            </w:tcMar>
          </w:tcPr>
          <w:p w14:paraId="000001BB" w14:textId="77777777" w:rsidR="00031725" w:rsidRDefault="00000000">
            <w:pPr>
              <w:spacing w:before="40" w:after="40"/>
              <w:rPr>
                <w:sz w:val="18"/>
                <w:szCs w:val="18"/>
              </w:rPr>
            </w:pPr>
            <w:r>
              <w:rPr>
                <w:sz w:val="18"/>
                <w:szCs w:val="18"/>
              </w:rPr>
              <w:t>Monitor access requests, downloads and citations for published datasets and provide researchers with metrics on data reuse</w:t>
            </w:r>
          </w:p>
        </w:tc>
        <w:tc>
          <w:tcPr>
            <w:tcW w:w="1410" w:type="dxa"/>
            <w:tcBorders>
              <w:top w:val="nil"/>
              <w:left w:val="nil"/>
              <w:bottom w:val="single" w:sz="5" w:space="0" w:color="005B52"/>
              <w:right w:val="single" w:sz="5" w:space="0" w:color="005B52"/>
            </w:tcBorders>
            <w:tcMar>
              <w:top w:w="80" w:type="dxa"/>
              <w:left w:w="120" w:type="dxa"/>
              <w:bottom w:w="80" w:type="dxa"/>
              <w:right w:w="120" w:type="dxa"/>
            </w:tcMar>
          </w:tcPr>
          <w:p w14:paraId="000001BC" w14:textId="77777777" w:rsidR="00031725" w:rsidRDefault="00000000">
            <w:pPr>
              <w:spacing w:before="40" w:after="40"/>
              <w:rPr>
                <w:sz w:val="18"/>
                <w:szCs w:val="18"/>
              </w:rPr>
            </w:pPr>
            <w:r>
              <w:rPr>
                <w:sz w:val="18"/>
                <w:szCs w:val="18"/>
              </w:rPr>
              <w:t>Researcher, Institution</w:t>
            </w:r>
          </w:p>
        </w:tc>
        <w:tc>
          <w:tcPr>
            <w:tcW w:w="2325" w:type="dxa"/>
            <w:tcBorders>
              <w:top w:val="nil"/>
              <w:left w:val="nil"/>
              <w:bottom w:val="single" w:sz="5" w:space="0" w:color="005B52"/>
              <w:right w:val="single" w:sz="5" w:space="0" w:color="005B52"/>
            </w:tcBorders>
            <w:tcMar>
              <w:top w:w="80" w:type="dxa"/>
              <w:left w:w="120" w:type="dxa"/>
              <w:bottom w:w="80" w:type="dxa"/>
              <w:right w:w="120" w:type="dxa"/>
            </w:tcMar>
          </w:tcPr>
          <w:p w14:paraId="000001BD" w14:textId="77777777" w:rsidR="00031725" w:rsidRDefault="00000000">
            <w:pPr>
              <w:spacing w:before="40" w:after="40"/>
              <w:rPr>
                <w:sz w:val="18"/>
                <w:szCs w:val="18"/>
              </w:rPr>
            </w:pPr>
            <w:r>
              <w:rPr>
                <w:sz w:val="18"/>
                <w:szCs w:val="18"/>
              </w:rPr>
              <w:t>Researchers receive regular updates on how their data is being accessed and reused; metrics support recognition of data outputs within the current reward system</w:t>
            </w:r>
          </w:p>
        </w:tc>
        <w:tc>
          <w:tcPr>
            <w:tcW w:w="1410" w:type="dxa"/>
            <w:tcBorders>
              <w:top w:val="nil"/>
              <w:left w:val="nil"/>
              <w:bottom w:val="single" w:sz="5" w:space="0" w:color="005B52"/>
              <w:right w:val="single" w:sz="5" w:space="0" w:color="005B52"/>
            </w:tcBorders>
            <w:tcMar>
              <w:top w:w="80" w:type="dxa"/>
              <w:left w:w="120" w:type="dxa"/>
              <w:bottom w:w="80" w:type="dxa"/>
              <w:right w:w="120" w:type="dxa"/>
            </w:tcMar>
          </w:tcPr>
          <w:p w14:paraId="000001BE" w14:textId="77777777" w:rsidR="00031725" w:rsidRDefault="00000000">
            <w:pPr>
              <w:spacing w:before="40" w:after="40"/>
              <w:rPr>
                <w:sz w:val="18"/>
                <w:szCs w:val="18"/>
              </w:rPr>
            </w:pPr>
            <w:r>
              <w:rPr>
                <w:sz w:val="18"/>
                <w:szCs w:val="18"/>
              </w:rPr>
              <w:t>Standards, Support</w:t>
            </w:r>
          </w:p>
        </w:tc>
        <w:tc>
          <w:tcPr>
            <w:tcW w:w="1485" w:type="dxa"/>
            <w:tcBorders>
              <w:top w:val="nil"/>
              <w:left w:val="nil"/>
              <w:bottom w:val="single" w:sz="5" w:space="0" w:color="005B52"/>
              <w:right w:val="single" w:sz="5" w:space="0" w:color="005B52"/>
            </w:tcBorders>
            <w:shd w:val="clear" w:color="auto" w:fill="FFF8E6"/>
            <w:tcMar>
              <w:top w:w="80" w:type="dxa"/>
              <w:left w:w="120" w:type="dxa"/>
              <w:bottom w:w="80" w:type="dxa"/>
              <w:right w:w="120" w:type="dxa"/>
            </w:tcMar>
          </w:tcPr>
          <w:p w14:paraId="000001BF" w14:textId="77777777" w:rsidR="00031725" w:rsidRDefault="00000000">
            <w:pPr>
              <w:spacing w:before="40" w:after="40"/>
              <w:rPr>
                <w:b/>
                <w:bCs/>
                <w:color w:val="7F6000"/>
                <w:sz w:val="18"/>
                <w:szCs w:val="18"/>
              </w:rPr>
            </w:pPr>
            <w:r>
              <w:rPr>
                <w:b/>
                <w:bCs/>
                <w:color w:val="7F6000"/>
                <w:sz w:val="18"/>
                <w:szCs w:val="18"/>
              </w:rPr>
              <w:t>Future Consideration</w:t>
            </w:r>
          </w:p>
        </w:tc>
      </w:tr>
      <w:tr w:rsidR="00031725" w14:paraId="50E7C58D" w14:textId="77777777">
        <w:trPr>
          <w:trHeight w:val="1470"/>
        </w:trPr>
        <w:tc>
          <w:tcPr>
            <w:tcW w:w="2385" w:type="dxa"/>
            <w:tcBorders>
              <w:top w:val="nil"/>
              <w:left w:val="single" w:sz="5" w:space="0" w:color="005B52"/>
              <w:bottom w:val="single" w:sz="5" w:space="0" w:color="005B52"/>
              <w:right w:val="single" w:sz="5" w:space="0" w:color="005B52"/>
            </w:tcBorders>
            <w:tcMar>
              <w:top w:w="80" w:type="dxa"/>
              <w:left w:w="120" w:type="dxa"/>
              <w:bottom w:w="80" w:type="dxa"/>
              <w:right w:w="120" w:type="dxa"/>
            </w:tcMar>
          </w:tcPr>
          <w:p w14:paraId="000001C0" w14:textId="77777777" w:rsidR="00031725" w:rsidRDefault="00000000">
            <w:pPr>
              <w:spacing w:before="40" w:after="40"/>
              <w:rPr>
                <w:sz w:val="18"/>
                <w:szCs w:val="18"/>
              </w:rPr>
            </w:pPr>
            <w:r>
              <w:rPr>
                <w:sz w:val="18"/>
                <w:szCs w:val="18"/>
              </w:rPr>
              <w:t>Link datasets to protocol repositories to enhance data replicability and methodological transparency</w:t>
            </w:r>
          </w:p>
        </w:tc>
        <w:tc>
          <w:tcPr>
            <w:tcW w:w="1410" w:type="dxa"/>
            <w:tcBorders>
              <w:top w:val="nil"/>
              <w:left w:val="nil"/>
              <w:bottom w:val="single" w:sz="5" w:space="0" w:color="005B52"/>
              <w:right w:val="single" w:sz="5" w:space="0" w:color="005B52"/>
            </w:tcBorders>
            <w:tcMar>
              <w:top w:w="80" w:type="dxa"/>
              <w:left w:w="120" w:type="dxa"/>
              <w:bottom w:w="80" w:type="dxa"/>
              <w:right w:w="120" w:type="dxa"/>
            </w:tcMar>
          </w:tcPr>
          <w:p w14:paraId="000001C1" w14:textId="77777777" w:rsidR="00031725" w:rsidRDefault="00000000">
            <w:pPr>
              <w:spacing w:before="40" w:after="40"/>
              <w:rPr>
                <w:sz w:val="18"/>
                <w:szCs w:val="18"/>
              </w:rPr>
            </w:pPr>
            <w:r>
              <w:rPr>
                <w:sz w:val="18"/>
                <w:szCs w:val="18"/>
              </w:rPr>
              <w:t>Researcher, Data Support Professional</w:t>
            </w:r>
          </w:p>
        </w:tc>
        <w:tc>
          <w:tcPr>
            <w:tcW w:w="2325" w:type="dxa"/>
            <w:tcBorders>
              <w:top w:val="nil"/>
              <w:left w:val="nil"/>
              <w:bottom w:val="single" w:sz="5" w:space="0" w:color="005B52"/>
              <w:right w:val="single" w:sz="5" w:space="0" w:color="005B52"/>
            </w:tcBorders>
            <w:tcMar>
              <w:top w:w="80" w:type="dxa"/>
              <w:left w:w="120" w:type="dxa"/>
              <w:bottom w:w="80" w:type="dxa"/>
              <w:right w:w="120" w:type="dxa"/>
            </w:tcMar>
          </w:tcPr>
          <w:p w14:paraId="000001C2" w14:textId="77777777" w:rsidR="00031725" w:rsidRDefault="00000000">
            <w:pPr>
              <w:spacing w:before="40" w:after="40"/>
              <w:rPr>
                <w:sz w:val="18"/>
                <w:szCs w:val="18"/>
              </w:rPr>
            </w:pPr>
            <w:r>
              <w:rPr>
                <w:sz w:val="18"/>
                <w:szCs w:val="18"/>
              </w:rPr>
              <w:t>Datasets are connected to the protocols used to generate them; replicability is supported through persistent links to methodology</w:t>
            </w:r>
          </w:p>
        </w:tc>
        <w:tc>
          <w:tcPr>
            <w:tcW w:w="1410" w:type="dxa"/>
            <w:tcBorders>
              <w:top w:val="nil"/>
              <w:left w:val="nil"/>
              <w:bottom w:val="single" w:sz="5" w:space="0" w:color="005B52"/>
              <w:right w:val="single" w:sz="5" w:space="0" w:color="005B52"/>
            </w:tcBorders>
            <w:tcMar>
              <w:top w:w="80" w:type="dxa"/>
              <w:left w:w="120" w:type="dxa"/>
              <w:bottom w:w="80" w:type="dxa"/>
              <w:right w:w="120" w:type="dxa"/>
            </w:tcMar>
          </w:tcPr>
          <w:p w14:paraId="000001C3" w14:textId="77777777" w:rsidR="00031725" w:rsidRDefault="00000000">
            <w:pPr>
              <w:spacing w:before="40" w:after="40"/>
              <w:rPr>
                <w:sz w:val="18"/>
                <w:szCs w:val="18"/>
              </w:rPr>
            </w:pPr>
            <w:r>
              <w:rPr>
                <w:sz w:val="18"/>
                <w:szCs w:val="18"/>
              </w:rPr>
              <w:t>Quality and Provenance, Standards</w:t>
            </w:r>
          </w:p>
        </w:tc>
        <w:tc>
          <w:tcPr>
            <w:tcW w:w="1485" w:type="dxa"/>
            <w:tcBorders>
              <w:top w:val="nil"/>
              <w:left w:val="nil"/>
              <w:bottom w:val="single" w:sz="5" w:space="0" w:color="005B52"/>
              <w:right w:val="single" w:sz="5" w:space="0" w:color="005B52"/>
            </w:tcBorders>
            <w:shd w:val="clear" w:color="auto" w:fill="FFF8E6"/>
            <w:tcMar>
              <w:top w:w="80" w:type="dxa"/>
              <w:left w:w="120" w:type="dxa"/>
              <w:bottom w:w="80" w:type="dxa"/>
              <w:right w:w="120" w:type="dxa"/>
            </w:tcMar>
          </w:tcPr>
          <w:p w14:paraId="000001C4" w14:textId="77777777" w:rsidR="00031725" w:rsidRDefault="00000000">
            <w:pPr>
              <w:spacing w:before="40" w:after="40"/>
              <w:rPr>
                <w:b/>
                <w:bCs/>
                <w:color w:val="7F6000"/>
                <w:sz w:val="18"/>
                <w:szCs w:val="18"/>
              </w:rPr>
            </w:pPr>
            <w:r>
              <w:rPr>
                <w:b/>
                <w:bCs/>
                <w:color w:val="7F6000"/>
                <w:sz w:val="18"/>
                <w:szCs w:val="18"/>
              </w:rPr>
              <w:t>Future Consideration</w:t>
            </w:r>
          </w:p>
        </w:tc>
      </w:tr>
      <w:tr w:rsidR="00031725" w14:paraId="66928D69" w14:textId="77777777">
        <w:trPr>
          <w:trHeight w:val="1065"/>
        </w:trPr>
        <w:tc>
          <w:tcPr>
            <w:tcW w:w="2385" w:type="dxa"/>
            <w:tcBorders>
              <w:top w:val="nil"/>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1C5" w14:textId="77777777" w:rsidR="00031725" w:rsidRDefault="00000000">
            <w:pPr>
              <w:spacing w:before="40" w:after="40"/>
              <w:rPr>
                <w:sz w:val="18"/>
                <w:szCs w:val="18"/>
              </w:rPr>
            </w:pPr>
            <w:r>
              <w:rPr>
                <w:sz w:val="18"/>
                <w:szCs w:val="18"/>
              </w:rPr>
              <w:t>Find journal article publications and linked datasets on a given research topic</w:t>
            </w:r>
          </w:p>
        </w:tc>
        <w:tc>
          <w:tcPr>
            <w:tcW w:w="1410"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C6" w14:textId="77777777" w:rsidR="00031725" w:rsidRDefault="00000000">
            <w:pPr>
              <w:spacing w:before="40" w:after="40"/>
              <w:rPr>
                <w:sz w:val="18"/>
                <w:szCs w:val="18"/>
              </w:rPr>
            </w:pPr>
            <w:r>
              <w:rPr>
                <w:sz w:val="18"/>
                <w:szCs w:val="18"/>
              </w:rPr>
              <w:t>Researcher</w:t>
            </w:r>
          </w:p>
        </w:tc>
        <w:tc>
          <w:tcPr>
            <w:tcW w:w="2325"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C7" w14:textId="77777777" w:rsidR="00031725" w:rsidRDefault="00000000">
            <w:pPr>
              <w:spacing w:before="40" w:after="40"/>
              <w:rPr>
                <w:sz w:val="18"/>
                <w:szCs w:val="18"/>
              </w:rPr>
            </w:pPr>
            <w:r>
              <w:rPr>
                <w:sz w:val="18"/>
                <w:szCs w:val="18"/>
              </w:rPr>
              <w:t>A bibliography of relevant papers and associated datasets is produced</w:t>
            </w:r>
          </w:p>
        </w:tc>
        <w:tc>
          <w:tcPr>
            <w:tcW w:w="1410"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C8" w14:textId="77777777" w:rsidR="00031725" w:rsidRDefault="00000000">
            <w:pPr>
              <w:spacing w:before="40" w:after="40"/>
              <w:rPr>
                <w:sz w:val="18"/>
                <w:szCs w:val="18"/>
              </w:rPr>
            </w:pPr>
            <w:r>
              <w:rPr>
                <w:sz w:val="18"/>
                <w:szCs w:val="18"/>
              </w:rPr>
              <w:t>Standards, Support</w:t>
            </w:r>
          </w:p>
        </w:tc>
        <w:tc>
          <w:tcPr>
            <w:tcW w:w="1485" w:type="dxa"/>
            <w:tcBorders>
              <w:top w:val="nil"/>
              <w:left w:val="nil"/>
              <w:bottom w:val="single" w:sz="5" w:space="0" w:color="005B52"/>
              <w:right w:val="single" w:sz="5" w:space="0" w:color="005B52"/>
            </w:tcBorders>
            <w:shd w:val="clear" w:color="auto" w:fill="FFF8E6"/>
            <w:tcMar>
              <w:top w:w="80" w:type="dxa"/>
              <w:left w:w="120" w:type="dxa"/>
              <w:bottom w:w="80" w:type="dxa"/>
              <w:right w:w="120" w:type="dxa"/>
            </w:tcMar>
          </w:tcPr>
          <w:p w14:paraId="000001C9" w14:textId="77777777" w:rsidR="00031725" w:rsidRDefault="00000000">
            <w:pPr>
              <w:spacing w:before="40" w:after="40"/>
              <w:rPr>
                <w:b/>
                <w:bCs/>
                <w:color w:val="7F6000"/>
                <w:sz w:val="18"/>
                <w:szCs w:val="18"/>
              </w:rPr>
            </w:pPr>
            <w:r>
              <w:rPr>
                <w:b/>
                <w:bCs/>
                <w:color w:val="7F6000"/>
                <w:sz w:val="18"/>
                <w:szCs w:val="18"/>
              </w:rPr>
              <w:t>Future Consideration</w:t>
            </w:r>
          </w:p>
        </w:tc>
      </w:tr>
      <w:tr w:rsidR="00031725" w14:paraId="1F47D129" w14:textId="77777777">
        <w:trPr>
          <w:trHeight w:val="870"/>
        </w:trPr>
        <w:tc>
          <w:tcPr>
            <w:tcW w:w="2385" w:type="dxa"/>
            <w:tcBorders>
              <w:top w:val="nil"/>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1CA" w14:textId="77777777" w:rsidR="00031725" w:rsidRDefault="00000000">
            <w:pPr>
              <w:spacing w:before="40" w:after="40"/>
              <w:rPr>
                <w:sz w:val="18"/>
                <w:szCs w:val="18"/>
              </w:rPr>
            </w:pPr>
            <w:r>
              <w:rPr>
                <w:sz w:val="18"/>
                <w:szCs w:val="18"/>
              </w:rPr>
              <w:t>Build knowledge graphs, for example from nanopublications</w:t>
            </w:r>
          </w:p>
        </w:tc>
        <w:tc>
          <w:tcPr>
            <w:tcW w:w="1410"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CB" w14:textId="77777777" w:rsidR="00031725" w:rsidRDefault="00000000">
            <w:pPr>
              <w:spacing w:before="40" w:after="40"/>
              <w:rPr>
                <w:sz w:val="18"/>
                <w:szCs w:val="18"/>
              </w:rPr>
            </w:pPr>
            <w:r>
              <w:rPr>
                <w:sz w:val="18"/>
                <w:szCs w:val="18"/>
              </w:rPr>
              <w:t>Researcher</w:t>
            </w:r>
          </w:p>
        </w:tc>
        <w:tc>
          <w:tcPr>
            <w:tcW w:w="2325"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13AAEA52" w14:textId="77777777" w:rsidR="00031725" w:rsidRDefault="00000000">
            <w:pPr>
              <w:spacing w:before="40" w:after="40"/>
              <w:rPr>
                <w:sz w:val="18"/>
                <w:szCs w:val="18"/>
              </w:rPr>
            </w:pPr>
            <w:r>
              <w:rPr>
                <w:sz w:val="18"/>
                <w:szCs w:val="18"/>
              </w:rPr>
              <w:t>Knowledge is shared and managed in a structured, machine-readable form</w:t>
            </w:r>
          </w:p>
          <w:p w14:paraId="62A91776" w14:textId="77777777" w:rsidR="00204CC6" w:rsidRDefault="00204CC6">
            <w:pPr>
              <w:spacing w:before="40" w:after="40"/>
              <w:rPr>
                <w:sz w:val="18"/>
                <w:szCs w:val="18"/>
              </w:rPr>
            </w:pPr>
          </w:p>
          <w:p w14:paraId="78158FE8" w14:textId="77777777" w:rsidR="00204CC6" w:rsidRDefault="00204CC6">
            <w:pPr>
              <w:spacing w:before="40" w:after="40"/>
              <w:rPr>
                <w:sz w:val="18"/>
                <w:szCs w:val="18"/>
              </w:rPr>
            </w:pPr>
          </w:p>
          <w:p w14:paraId="7753FEBE" w14:textId="77777777" w:rsidR="00204CC6" w:rsidRDefault="00204CC6">
            <w:pPr>
              <w:spacing w:before="40" w:after="40"/>
              <w:rPr>
                <w:sz w:val="18"/>
                <w:szCs w:val="18"/>
              </w:rPr>
            </w:pPr>
          </w:p>
          <w:p w14:paraId="53D1C5A1" w14:textId="77777777" w:rsidR="00204CC6" w:rsidRDefault="00204CC6">
            <w:pPr>
              <w:spacing w:before="40" w:after="40"/>
              <w:rPr>
                <w:sz w:val="18"/>
                <w:szCs w:val="18"/>
              </w:rPr>
            </w:pPr>
          </w:p>
          <w:p w14:paraId="000001CC" w14:textId="77777777" w:rsidR="00204CC6" w:rsidRDefault="00204CC6">
            <w:pPr>
              <w:spacing w:before="40" w:after="40"/>
              <w:rPr>
                <w:sz w:val="18"/>
                <w:szCs w:val="18"/>
              </w:rPr>
            </w:pPr>
          </w:p>
        </w:tc>
        <w:tc>
          <w:tcPr>
            <w:tcW w:w="1410"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CD" w14:textId="77777777" w:rsidR="00031725" w:rsidRDefault="00000000">
            <w:pPr>
              <w:spacing w:before="40" w:after="40"/>
              <w:rPr>
                <w:sz w:val="18"/>
                <w:szCs w:val="18"/>
              </w:rPr>
            </w:pPr>
            <w:r>
              <w:rPr>
                <w:sz w:val="18"/>
                <w:szCs w:val="18"/>
              </w:rPr>
              <w:t>Standards</w:t>
            </w:r>
          </w:p>
        </w:tc>
        <w:tc>
          <w:tcPr>
            <w:tcW w:w="1485" w:type="dxa"/>
            <w:tcBorders>
              <w:top w:val="nil"/>
              <w:left w:val="nil"/>
              <w:bottom w:val="single" w:sz="5" w:space="0" w:color="005B52"/>
              <w:right w:val="single" w:sz="5" w:space="0" w:color="005B52"/>
            </w:tcBorders>
            <w:shd w:val="clear" w:color="auto" w:fill="FFF8E6"/>
            <w:tcMar>
              <w:top w:w="80" w:type="dxa"/>
              <w:left w:w="120" w:type="dxa"/>
              <w:bottom w:w="80" w:type="dxa"/>
              <w:right w:w="120" w:type="dxa"/>
            </w:tcMar>
          </w:tcPr>
          <w:p w14:paraId="000001CE" w14:textId="77777777" w:rsidR="00031725" w:rsidRDefault="00000000">
            <w:pPr>
              <w:spacing w:before="40" w:after="40"/>
              <w:rPr>
                <w:b/>
                <w:bCs/>
                <w:color w:val="7F6000"/>
                <w:sz w:val="18"/>
                <w:szCs w:val="18"/>
              </w:rPr>
            </w:pPr>
            <w:r>
              <w:rPr>
                <w:b/>
                <w:bCs/>
                <w:color w:val="7F6000"/>
                <w:sz w:val="18"/>
                <w:szCs w:val="18"/>
              </w:rPr>
              <w:t>Future Consideration</w:t>
            </w:r>
          </w:p>
        </w:tc>
      </w:tr>
      <w:tr w:rsidR="00031725" w14:paraId="212FC778" w14:textId="77777777">
        <w:trPr>
          <w:trHeight w:val="450"/>
        </w:trPr>
        <w:tc>
          <w:tcPr>
            <w:tcW w:w="9015" w:type="dxa"/>
            <w:gridSpan w:val="5"/>
            <w:tcBorders>
              <w:top w:val="nil"/>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1CF" w14:textId="77777777" w:rsidR="00031725" w:rsidRDefault="00000000">
            <w:pPr>
              <w:spacing w:before="40" w:after="40"/>
              <w:rPr>
                <w:b/>
                <w:bCs/>
                <w:color w:val="005B52"/>
                <w:sz w:val="18"/>
                <w:szCs w:val="18"/>
              </w:rPr>
            </w:pPr>
            <w:r>
              <w:rPr>
                <w:b/>
                <w:bCs/>
                <w:color w:val="005B52"/>
                <w:sz w:val="18"/>
                <w:szCs w:val="18"/>
              </w:rPr>
              <w:lastRenderedPageBreak/>
              <w:t>9. PRIVACY AND COMPLIANCE</w:t>
            </w:r>
          </w:p>
        </w:tc>
      </w:tr>
      <w:tr w:rsidR="00031725" w14:paraId="41041B90" w14:textId="77777777">
        <w:trPr>
          <w:trHeight w:val="1680"/>
        </w:trPr>
        <w:tc>
          <w:tcPr>
            <w:tcW w:w="2385" w:type="dxa"/>
            <w:tcBorders>
              <w:top w:val="nil"/>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1D4" w14:textId="77777777" w:rsidR="00031725" w:rsidRDefault="00000000">
            <w:pPr>
              <w:spacing w:before="40" w:after="40"/>
              <w:rPr>
                <w:sz w:val="18"/>
                <w:szCs w:val="18"/>
              </w:rPr>
            </w:pPr>
            <w:r>
              <w:rPr>
                <w:sz w:val="18"/>
                <w:szCs w:val="18"/>
              </w:rPr>
              <w:t>Carry out privacy due diligence for research involving human subjects at the point of publication</w:t>
            </w:r>
          </w:p>
        </w:tc>
        <w:tc>
          <w:tcPr>
            <w:tcW w:w="1410"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D5" w14:textId="77777777" w:rsidR="00031725" w:rsidRDefault="00000000">
            <w:pPr>
              <w:spacing w:before="40" w:after="40"/>
              <w:rPr>
                <w:sz w:val="18"/>
                <w:szCs w:val="18"/>
              </w:rPr>
            </w:pPr>
            <w:r>
              <w:rPr>
                <w:sz w:val="18"/>
                <w:szCs w:val="18"/>
              </w:rPr>
              <w:t>Researcher, Data Support Professional</w:t>
            </w:r>
          </w:p>
        </w:tc>
        <w:tc>
          <w:tcPr>
            <w:tcW w:w="2325"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D6" w14:textId="77777777" w:rsidR="00031725" w:rsidRDefault="00000000">
            <w:pPr>
              <w:spacing w:before="40" w:after="40"/>
              <w:rPr>
                <w:sz w:val="18"/>
                <w:szCs w:val="18"/>
              </w:rPr>
            </w:pPr>
            <w:r>
              <w:rPr>
                <w:sz w:val="18"/>
                <w:szCs w:val="18"/>
              </w:rPr>
              <w:t>Consent documents and data use agreements are checked; identifiers are removed; ethics approval documentation is linked; sharing is confirmed as legally compliant</w:t>
            </w:r>
          </w:p>
        </w:tc>
        <w:tc>
          <w:tcPr>
            <w:tcW w:w="1410"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D7" w14:textId="77777777" w:rsidR="00031725" w:rsidRDefault="00000000">
            <w:pPr>
              <w:spacing w:before="40" w:after="40"/>
              <w:rPr>
                <w:sz w:val="18"/>
                <w:szCs w:val="18"/>
              </w:rPr>
            </w:pPr>
            <w:r>
              <w:rPr>
                <w:sz w:val="18"/>
                <w:szCs w:val="18"/>
              </w:rPr>
              <w:t>Governance, Policy</w:t>
            </w:r>
          </w:p>
        </w:tc>
        <w:tc>
          <w:tcPr>
            <w:tcW w:w="1485" w:type="dxa"/>
            <w:tcBorders>
              <w:top w:val="nil"/>
              <w:left w:val="nil"/>
              <w:bottom w:val="single" w:sz="5" w:space="0" w:color="005B52"/>
              <w:right w:val="single" w:sz="5" w:space="0" w:color="005B52"/>
            </w:tcBorders>
            <w:shd w:val="clear" w:color="auto" w:fill="FFF8E6"/>
            <w:tcMar>
              <w:top w:w="80" w:type="dxa"/>
              <w:left w:w="120" w:type="dxa"/>
              <w:bottom w:w="80" w:type="dxa"/>
              <w:right w:w="120" w:type="dxa"/>
            </w:tcMar>
          </w:tcPr>
          <w:p w14:paraId="000001D8" w14:textId="77777777" w:rsidR="00031725" w:rsidRDefault="00000000">
            <w:pPr>
              <w:spacing w:before="40" w:after="40"/>
              <w:rPr>
                <w:b/>
                <w:bCs/>
                <w:color w:val="7F6000"/>
                <w:sz w:val="18"/>
                <w:szCs w:val="18"/>
              </w:rPr>
            </w:pPr>
            <w:r>
              <w:rPr>
                <w:b/>
                <w:bCs/>
                <w:color w:val="7F6000"/>
                <w:sz w:val="18"/>
                <w:szCs w:val="18"/>
              </w:rPr>
              <w:t>Future Consideration</w:t>
            </w:r>
          </w:p>
        </w:tc>
      </w:tr>
      <w:tr w:rsidR="00031725" w14:paraId="55A23C67" w14:textId="77777777">
        <w:trPr>
          <w:trHeight w:val="1680"/>
        </w:trPr>
        <w:tc>
          <w:tcPr>
            <w:tcW w:w="2385" w:type="dxa"/>
            <w:tcBorders>
              <w:top w:val="nil"/>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1D9" w14:textId="77777777" w:rsidR="00031725" w:rsidRDefault="00000000">
            <w:pPr>
              <w:spacing w:before="40" w:after="40"/>
              <w:rPr>
                <w:sz w:val="18"/>
                <w:szCs w:val="18"/>
              </w:rPr>
            </w:pPr>
            <w:r>
              <w:rPr>
                <w:sz w:val="18"/>
                <w:szCs w:val="18"/>
              </w:rPr>
              <w:t>Manage data access automatically in line with applicable data protection legislation, for example restricting access to sensitive datasets, subject to explicit human approval</w:t>
            </w:r>
          </w:p>
        </w:tc>
        <w:tc>
          <w:tcPr>
            <w:tcW w:w="1410"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DA" w14:textId="77777777" w:rsidR="00031725" w:rsidRDefault="00000000">
            <w:pPr>
              <w:spacing w:before="40" w:after="40"/>
              <w:rPr>
                <w:sz w:val="18"/>
                <w:szCs w:val="18"/>
              </w:rPr>
            </w:pPr>
            <w:r>
              <w:rPr>
                <w:sz w:val="18"/>
                <w:szCs w:val="18"/>
              </w:rPr>
              <w:t>Data Support Professional</w:t>
            </w:r>
          </w:p>
        </w:tc>
        <w:tc>
          <w:tcPr>
            <w:tcW w:w="2325"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DB" w14:textId="77777777" w:rsidR="00031725" w:rsidRDefault="00000000">
            <w:pPr>
              <w:spacing w:before="40" w:after="40"/>
              <w:rPr>
                <w:sz w:val="18"/>
                <w:szCs w:val="18"/>
              </w:rPr>
            </w:pPr>
            <w:r>
              <w:rPr>
                <w:sz w:val="18"/>
                <w:szCs w:val="18"/>
              </w:rPr>
              <w:t>Data access is managed in line with legal requirements; no access restriction is enacted without human confirmation</w:t>
            </w:r>
          </w:p>
        </w:tc>
        <w:tc>
          <w:tcPr>
            <w:tcW w:w="1410"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DC" w14:textId="77777777" w:rsidR="00031725" w:rsidRDefault="00000000">
            <w:pPr>
              <w:spacing w:before="40" w:after="40"/>
              <w:rPr>
                <w:sz w:val="18"/>
                <w:szCs w:val="18"/>
              </w:rPr>
            </w:pPr>
            <w:r>
              <w:rPr>
                <w:sz w:val="18"/>
                <w:szCs w:val="18"/>
              </w:rPr>
              <w:t>Governance, Policy</w:t>
            </w:r>
          </w:p>
        </w:tc>
        <w:tc>
          <w:tcPr>
            <w:tcW w:w="1485" w:type="dxa"/>
            <w:tcBorders>
              <w:top w:val="nil"/>
              <w:left w:val="nil"/>
              <w:bottom w:val="single" w:sz="5" w:space="0" w:color="005B52"/>
              <w:right w:val="single" w:sz="5" w:space="0" w:color="005B52"/>
            </w:tcBorders>
            <w:shd w:val="clear" w:color="auto" w:fill="FFF8E6"/>
            <w:tcMar>
              <w:top w:w="80" w:type="dxa"/>
              <w:left w:w="120" w:type="dxa"/>
              <w:bottom w:w="80" w:type="dxa"/>
              <w:right w:w="120" w:type="dxa"/>
            </w:tcMar>
          </w:tcPr>
          <w:p w14:paraId="000001DD" w14:textId="77777777" w:rsidR="00031725" w:rsidRDefault="00000000">
            <w:pPr>
              <w:spacing w:before="40" w:after="40"/>
              <w:rPr>
                <w:b/>
                <w:bCs/>
                <w:color w:val="7F6000"/>
                <w:sz w:val="18"/>
                <w:szCs w:val="18"/>
              </w:rPr>
            </w:pPr>
            <w:r>
              <w:rPr>
                <w:b/>
                <w:bCs/>
                <w:color w:val="7F6000"/>
                <w:sz w:val="18"/>
                <w:szCs w:val="18"/>
              </w:rPr>
              <w:t>Future Consideration</w:t>
            </w:r>
          </w:p>
        </w:tc>
      </w:tr>
      <w:tr w:rsidR="00031725" w14:paraId="4BF41422" w14:textId="77777777">
        <w:trPr>
          <w:trHeight w:val="1470"/>
        </w:trPr>
        <w:tc>
          <w:tcPr>
            <w:tcW w:w="2385" w:type="dxa"/>
            <w:tcBorders>
              <w:top w:val="nil"/>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1DE" w14:textId="77777777" w:rsidR="00031725" w:rsidRDefault="00000000">
            <w:pPr>
              <w:spacing w:before="40" w:after="40"/>
              <w:rPr>
                <w:sz w:val="18"/>
                <w:szCs w:val="18"/>
              </w:rPr>
            </w:pPr>
            <w:r>
              <w:rPr>
                <w:sz w:val="18"/>
                <w:szCs w:val="18"/>
              </w:rPr>
              <w:t>Monitor compliance and recommend remediation where data does not meet national or institutional policies</w:t>
            </w:r>
          </w:p>
        </w:tc>
        <w:tc>
          <w:tcPr>
            <w:tcW w:w="1410"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DF" w14:textId="77777777" w:rsidR="00031725" w:rsidRDefault="00000000">
            <w:pPr>
              <w:spacing w:before="40" w:after="40"/>
              <w:rPr>
                <w:sz w:val="18"/>
                <w:szCs w:val="18"/>
              </w:rPr>
            </w:pPr>
            <w:r>
              <w:rPr>
                <w:sz w:val="18"/>
                <w:szCs w:val="18"/>
              </w:rPr>
              <w:t>Data Support Professional</w:t>
            </w:r>
          </w:p>
        </w:tc>
        <w:tc>
          <w:tcPr>
            <w:tcW w:w="2325"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E0" w14:textId="77777777" w:rsidR="00031725" w:rsidRDefault="00000000">
            <w:pPr>
              <w:spacing w:before="40" w:after="40"/>
              <w:rPr>
                <w:sz w:val="18"/>
                <w:szCs w:val="18"/>
              </w:rPr>
            </w:pPr>
            <w:r>
              <w:rPr>
                <w:sz w:val="18"/>
                <w:szCs w:val="18"/>
              </w:rPr>
              <w:t>Non-compliance is identified; fixes are suggested, such as changes to metadata, file formats, or updates to related repository records.</w:t>
            </w:r>
          </w:p>
        </w:tc>
        <w:tc>
          <w:tcPr>
            <w:tcW w:w="1410"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E1" w14:textId="77777777" w:rsidR="00031725" w:rsidRDefault="00000000">
            <w:pPr>
              <w:spacing w:before="40" w:after="40"/>
              <w:rPr>
                <w:sz w:val="18"/>
                <w:szCs w:val="18"/>
              </w:rPr>
            </w:pPr>
            <w:r>
              <w:rPr>
                <w:sz w:val="18"/>
                <w:szCs w:val="18"/>
              </w:rPr>
              <w:t>Governance, Policy</w:t>
            </w:r>
          </w:p>
        </w:tc>
        <w:tc>
          <w:tcPr>
            <w:tcW w:w="1485" w:type="dxa"/>
            <w:tcBorders>
              <w:top w:val="nil"/>
              <w:left w:val="nil"/>
              <w:bottom w:val="single" w:sz="5" w:space="0" w:color="005B52"/>
              <w:right w:val="single" w:sz="5" w:space="0" w:color="005B52"/>
            </w:tcBorders>
            <w:shd w:val="clear" w:color="auto" w:fill="FFF8E6"/>
            <w:tcMar>
              <w:top w:w="80" w:type="dxa"/>
              <w:left w:w="120" w:type="dxa"/>
              <w:bottom w:w="80" w:type="dxa"/>
              <w:right w:w="120" w:type="dxa"/>
            </w:tcMar>
          </w:tcPr>
          <w:p w14:paraId="000001E2" w14:textId="77777777" w:rsidR="00031725" w:rsidRDefault="00000000">
            <w:pPr>
              <w:spacing w:before="40" w:after="40"/>
              <w:rPr>
                <w:b/>
                <w:bCs/>
                <w:color w:val="7F6000"/>
                <w:sz w:val="18"/>
                <w:szCs w:val="18"/>
              </w:rPr>
            </w:pPr>
            <w:r>
              <w:rPr>
                <w:b/>
                <w:bCs/>
                <w:color w:val="7F6000"/>
                <w:sz w:val="18"/>
                <w:szCs w:val="18"/>
              </w:rPr>
              <w:t>Future Consideration</w:t>
            </w:r>
          </w:p>
        </w:tc>
      </w:tr>
      <w:tr w:rsidR="00031725" w14:paraId="6DB53896" w14:textId="77777777">
        <w:trPr>
          <w:trHeight w:val="450"/>
        </w:trPr>
        <w:tc>
          <w:tcPr>
            <w:tcW w:w="9015" w:type="dxa"/>
            <w:gridSpan w:val="5"/>
            <w:tcBorders>
              <w:top w:val="nil"/>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1E3" w14:textId="77777777" w:rsidR="00031725" w:rsidRDefault="00000000">
            <w:pPr>
              <w:spacing w:before="40" w:after="40"/>
              <w:rPr>
                <w:b/>
                <w:bCs/>
                <w:color w:val="005B52"/>
                <w:sz w:val="18"/>
                <w:szCs w:val="18"/>
              </w:rPr>
            </w:pPr>
            <w:r>
              <w:rPr>
                <w:b/>
                <w:bCs/>
                <w:color w:val="005B52"/>
                <w:sz w:val="18"/>
                <w:szCs w:val="18"/>
              </w:rPr>
              <w:t>10. INDIGENOUS DATA</w:t>
            </w:r>
          </w:p>
        </w:tc>
      </w:tr>
      <w:tr w:rsidR="00031725" w14:paraId="5C48C355" w14:textId="77777777">
        <w:trPr>
          <w:trHeight w:val="1275"/>
        </w:trPr>
        <w:tc>
          <w:tcPr>
            <w:tcW w:w="2385" w:type="dxa"/>
            <w:tcBorders>
              <w:top w:val="nil"/>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1E8" w14:textId="77777777" w:rsidR="00031725" w:rsidRDefault="00000000">
            <w:pPr>
              <w:spacing w:before="40" w:after="40"/>
              <w:rPr>
                <w:sz w:val="18"/>
                <w:szCs w:val="18"/>
              </w:rPr>
            </w:pPr>
            <w:r>
              <w:rPr>
                <w:sz w:val="18"/>
                <w:szCs w:val="18"/>
              </w:rPr>
              <w:t>Ensure data reflects Indigenous context and aligns with CARE principles at the point of publication</w:t>
            </w:r>
          </w:p>
        </w:tc>
        <w:tc>
          <w:tcPr>
            <w:tcW w:w="1410"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E9" w14:textId="77777777" w:rsidR="00031725" w:rsidRDefault="00000000">
            <w:pPr>
              <w:spacing w:before="40" w:after="40"/>
              <w:rPr>
                <w:sz w:val="18"/>
                <w:szCs w:val="18"/>
              </w:rPr>
            </w:pPr>
            <w:r>
              <w:rPr>
                <w:sz w:val="18"/>
                <w:szCs w:val="18"/>
              </w:rPr>
              <w:t>Researcher, Data Support Professional</w:t>
            </w:r>
          </w:p>
        </w:tc>
        <w:tc>
          <w:tcPr>
            <w:tcW w:w="2325"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EA" w14:textId="77777777" w:rsidR="00031725" w:rsidRDefault="00000000">
            <w:pPr>
              <w:spacing w:before="40" w:after="40"/>
              <w:rPr>
                <w:sz w:val="18"/>
                <w:szCs w:val="18"/>
              </w:rPr>
            </w:pPr>
            <w:r>
              <w:rPr>
                <w:sz w:val="18"/>
                <w:szCs w:val="18"/>
              </w:rPr>
              <w:t>Data is handled in a way that is not biased; Indigenous data rights and protocols are respected</w:t>
            </w:r>
          </w:p>
        </w:tc>
        <w:tc>
          <w:tcPr>
            <w:tcW w:w="1410"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EB" w14:textId="77777777" w:rsidR="00031725" w:rsidRDefault="00000000">
            <w:pPr>
              <w:spacing w:before="40" w:after="40"/>
              <w:rPr>
                <w:sz w:val="18"/>
                <w:szCs w:val="18"/>
              </w:rPr>
            </w:pPr>
            <w:r>
              <w:rPr>
                <w:sz w:val="18"/>
                <w:szCs w:val="18"/>
              </w:rPr>
              <w:t>Governance, Standards</w:t>
            </w:r>
          </w:p>
        </w:tc>
        <w:tc>
          <w:tcPr>
            <w:tcW w:w="1485" w:type="dxa"/>
            <w:tcBorders>
              <w:top w:val="nil"/>
              <w:left w:val="nil"/>
              <w:bottom w:val="single" w:sz="5" w:space="0" w:color="005B52"/>
              <w:right w:val="single" w:sz="5" w:space="0" w:color="005B52"/>
            </w:tcBorders>
            <w:shd w:val="clear" w:color="auto" w:fill="FFF8E6"/>
            <w:tcMar>
              <w:top w:w="80" w:type="dxa"/>
              <w:left w:w="120" w:type="dxa"/>
              <w:bottom w:w="80" w:type="dxa"/>
              <w:right w:w="120" w:type="dxa"/>
            </w:tcMar>
          </w:tcPr>
          <w:p w14:paraId="000001EC" w14:textId="77777777" w:rsidR="00031725" w:rsidRDefault="00000000">
            <w:pPr>
              <w:spacing w:before="40" w:after="40"/>
              <w:rPr>
                <w:b/>
                <w:bCs/>
                <w:color w:val="7F6000"/>
                <w:sz w:val="18"/>
                <w:szCs w:val="18"/>
              </w:rPr>
            </w:pPr>
            <w:r>
              <w:rPr>
                <w:b/>
                <w:bCs/>
                <w:color w:val="7F6000"/>
                <w:sz w:val="18"/>
                <w:szCs w:val="18"/>
              </w:rPr>
              <w:t>Future Consideration</w:t>
            </w:r>
          </w:p>
        </w:tc>
      </w:tr>
      <w:tr w:rsidR="00031725" w14:paraId="6E7A82D8" w14:textId="77777777">
        <w:trPr>
          <w:trHeight w:val="450"/>
        </w:trPr>
        <w:tc>
          <w:tcPr>
            <w:tcW w:w="9015" w:type="dxa"/>
            <w:gridSpan w:val="5"/>
            <w:tcBorders>
              <w:top w:val="nil"/>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1ED" w14:textId="77777777" w:rsidR="00031725" w:rsidRDefault="00000000">
            <w:pPr>
              <w:spacing w:before="40" w:after="40"/>
              <w:rPr>
                <w:b/>
                <w:bCs/>
                <w:color w:val="005B52"/>
                <w:sz w:val="18"/>
                <w:szCs w:val="18"/>
              </w:rPr>
            </w:pPr>
            <w:r>
              <w:rPr>
                <w:b/>
                <w:bCs/>
                <w:color w:val="005B52"/>
                <w:sz w:val="18"/>
                <w:szCs w:val="18"/>
              </w:rPr>
              <w:t>11. AI AGENT GOVERNANCE</w:t>
            </w:r>
          </w:p>
        </w:tc>
      </w:tr>
      <w:tr w:rsidR="00031725" w14:paraId="6CFA990B" w14:textId="77777777">
        <w:trPr>
          <w:trHeight w:val="1890"/>
        </w:trPr>
        <w:tc>
          <w:tcPr>
            <w:tcW w:w="2385" w:type="dxa"/>
            <w:tcBorders>
              <w:top w:val="nil"/>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1F2" w14:textId="77777777" w:rsidR="00031725" w:rsidRDefault="00000000">
            <w:pPr>
              <w:spacing w:before="40" w:after="40"/>
              <w:rPr>
                <w:sz w:val="18"/>
                <w:szCs w:val="18"/>
              </w:rPr>
            </w:pPr>
            <w:r>
              <w:rPr>
                <w:sz w:val="18"/>
                <w:szCs w:val="18"/>
              </w:rPr>
              <w:t>Establish digital identities for AI agents and manage their rights and permissions</w:t>
            </w:r>
          </w:p>
        </w:tc>
        <w:tc>
          <w:tcPr>
            <w:tcW w:w="1410"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F3" w14:textId="77777777" w:rsidR="00031725" w:rsidRDefault="00000000">
            <w:pPr>
              <w:spacing w:before="40" w:after="40"/>
              <w:rPr>
                <w:sz w:val="18"/>
                <w:szCs w:val="18"/>
              </w:rPr>
            </w:pPr>
            <w:r>
              <w:rPr>
                <w:sz w:val="18"/>
                <w:szCs w:val="18"/>
              </w:rPr>
              <w:t>Researcher, Data Support Professional</w:t>
            </w:r>
          </w:p>
        </w:tc>
        <w:tc>
          <w:tcPr>
            <w:tcW w:w="2325"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21387F9E" w14:textId="77777777" w:rsidR="00031725" w:rsidRDefault="00000000">
            <w:pPr>
              <w:spacing w:before="40" w:after="40"/>
              <w:rPr>
                <w:sz w:val="18"/>
                <w:szCs w:val="18"/>
              </w:rPr>
            </w:pPr>
            <w:r>
              <w:rPr>
                <w:sz w:val="18"/>
                <w:szCs w:val="18"/>
              </w:rPr>
              <w:t>Humans can create agents with clearly defined, responsible rights; agents can return access and permissions to humans; data transfer is policy-driven and restricted appropriately</w:t>
            </w:r>
          </w:p>
          <w:p w14:paraId="6A707249" w14:textId="77777777" w:rsidR="00204CC6" w:rsidRDefault="00204CC6">
            <w:pPr>
              <w:spacing w:before="40" w:after="40"/>
              <w:rPr>
                <w:sz w:val="18"/>
                <w:szCs w:val="18"/>
              </w:rPr>
            </w:pPr>
          </w:p>
          <w:p w14:paraId="224D9B25" w14:textId="77777777" w:rsidR="00204CC6" w:rsidRDefault="00204CC6">
            <w:pPr>
              <w:spacing w:before="40" w:after="40"/>
              <w:rPr>
                <w:sz w:val="18"/>
                <w:szCs w:val="18"/>
              </w:rPr>
            </w:pPr>
          </w:p>
          <w:p w14:paraId="061A39C5" w14:textId="77777777" w:rsidR="00204CC6" w:rsidRDefault="00204CC6">
            <w:pPr>
              <w:spacing w:before="40" w:after="40"/>
              <w:rPr>
                <w:sz w:val="18"/>
                <w:szCs w:val="18"/>
              </w:rPr>
            </w:pPr>
          </w:p>
          <w:p w14:paraId="000001F4" w14:textId="77777777" w:rsidR="00204CC6" w:rsidRDefault="00204CC6">
            <w:pPr>
              <w:spacing w:before="40" w:after="40"/>
              <w:rPr>
                <w:sz w:val="18"/>
                <w:szCs w:val="18"/>
              </w:rPr>
            </w:pPr>
          </w:p>
        </w:tc>
        <w:tc>
          <w:tcPr>
            <w:tcW w:w="1410"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F5" w14:textId="77777777" w:rsidR="00031725" w:rsidRDefault="00000000">
            <w:pPr>
              <w:spacing w:before="40" w:after="40"/>
              <w:rPr>
                <w:sz w:val="18"/>
                <w:szCs w:val="18"/>
              </w:rPr>
            </w:pPr>
            <w:r>
              <w:rPr>
                <w:sz w:val="18"/>
                <w:szCs w:val="18"/>
              </w:rPr>
              <w:t>Governance, Quality and Provenance</w:t>
            </w:r>
          </w:p>
        </w:tc>
        <w:tc>
          <w:tcPr>
            <w:tcW w:w="1485" w:type="dxa"/>
            <w:tcBorders>
              <w:top w:val="nil"/>
              <w:left w:val="nil"/>
              <w:bottom w:val="single" w:sz="5" w:space="0" w:color="005B52"/>
              <w:right w:val="single" w:sz="5" w:space="0" w:color="005B52"/>
            </w:tcBorders>
            <w:shd w:val="clear" w:color="auto" w:fill="FFF8E6"/>
            <w:tcMar>
              <w:top w:w="80" w:type="dxa"/>
              <w:left w:w="120" w:type="dxa"/>
              <w:bottom w:w="80" w:type="dxa"/>
              <w:right w:w="120" w:type="dxa"/>
            </w:tcMar>
          </w:tcPr>
          <w:p w14:paraId="000001F6" w14:textId="77777777" w:rsidR="00031725" w:rsidRDefault="00000000">
            <w:pPr>
              <w:spacing w:before="40" w:after="40"/>
              <w:rPr>
                <w:b/>
                <w:bCs/>
                <w:color w:val="7F6000"/>
                <w:sz w:val="18"/>
                <w:szCs w:val="18"/>
              </w:rPr>
            </w:pPr>
            <w:r>
              <w:rPr>
                <w:b/>
                <w:bCs/>
                <w:color w:val="7F6000"/>
                <w:sz w:val="18"/>
                <w:szCs w:val="18"/>
              </w:rPr>
              <w:t>Future Consideration</w:t>
            </w:r>
          </w:p>
        </w:tc>
      </w:tr>
      <w:tr w:rsidR="00031725" w14:paraId="64CE2F82" w14:textId="77777777">
        <w:trPr>
          <w:trHeight w:val="450"/>
        </w:trPr>
        <w:tc>
          <w:tcPr>
            <w:tcW w:w="9015" w:type="dxa"/>
            <w:gridSpan w:val="5"/>
            <w:tcBorders>
              <w:top w:val="nil"/>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1F7" w14:textId="77777777" w:rsidR="00031725" w:rsidRDefault="00000000">
            <w:pPr>
              <w:spacing w:before="40" w:after="40"/>
              <w:rPr>
                <w:b/>
                <w:bCs/>
                <w:color w:val="005B52"/>
                <w:sz w:val="18"/>
                <w:szCs w:val="18"/>
              </w:rPr>
            </w:pPr>
            <w:r>
              <w:rPr>
                <w:b/>
                <w:bCs/>
                <w:color w:val="005B52"/>
                <w:sz w:val="18"/>
                <w:szCs w:val="18"/>
              </w:rPr>
              <w:lastRenderedPageBreak/>
              <w:t>12. COMMUNITY OVERVIEW</w:t>
            </w:r>
          </w:p>
        </w:tc>
      </w:tr>
      <w:tr w:rsidR="00031725" w14:paraId="55017973" w14:textId="77777777">
        <w:trPr>
          <w:trHeight w:val="1065"/>
        </w:trPr>
        <w:tc>
          <w:tcPr>
            <w:tcW w:w="2385" w:type="dxa"/>
            <w:tcBorders>
              <w:top w:val="nil"/>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1FC" w14:textId="77777777" w:rsidR="00031725" w:rsidRDefault="00000000">
            <w:pPr>
              <w:spacing w:before="40" w:after="40"/>
              <w:rPr>
                <w:sz w:val="18"/>
                <w:szCs w:val="18"/>
              </w:rPr>
            </w:pPr>
            <w:r>
              <w:rPr>
                <w:sz w:val="18"/>
                <w:szCs w:val="18"/>
              </w:rPr>
              <w:t>Provide an overview of data practices within a research community</w:t>
            </w:r>
          </w:p>
        </w:tc>
        <w:tc>
          <w:tcPr>
            <w:tcW w:w="1410"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FD" w14:textId="77777777" w:rsidR="00031725" w:rsidRDefault="00000000">
            <w:pPr>
              <w:spacing w:before="40" w:after="40"/>
              <w:rPr>
                <w:sz w:val="18"/>
                <w:szCs w:val="18"/>
              </w:rPr>
            </w:pPr>
            <w:r>
              <w:rPr>
                <w:sz w:val="18"/>
                <w:szCs w:val="18"/>
              </w:rPr>
              <w:t>Researcher, Data Support Professional</w:t>
            </w:r>
          </w:p>
        </w:tc>
        <w:tc>
          <w:tcPr>
            <w:tcW w:w="2325"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FE" w14:textId="77777777" w:rsidR="00031725" w:rsidRDefault="00000000">
            <w:pPr>
              <w:spacing w:before="40" w:after="40"/>
              <w:rPr>
                <w:sz w:val="18"/>
                <w:szCs w:val="18"/>
              </w:rPr>
            </w:pPr>
            <w:r>
              <w:rPr>
                <w:sz w:val="18"/>
                <w:szCs w:val="18"/>
              </w:rPr>
              <w:t>A dashboard showing the metadata standards and most-used repositories within a community</w:t>
            </w:r>
          </w:p>
        </w:tc>
        <w:tc>
          <w:tcPr>
            <w:tcW w:w="1410" w:type="dxa"/>
            <w:tcBorders>
              <w:top w:val="nil"/>
              <w:left w:val="nil"/>
              <w:bottom w:val="single" w:sz="5" w:space="0" w:color="005B52"/>
              <w:right w:val="single" w:sz="5" w:space="0" w:color="005B52"/>
            </w:tcBorders>
            <w:shd w:val="clear" w:color="auto" w:fill="FFFFFF"/>
            <w:tcMar>
              <w:top w:w="80" w:type="dxa"/>
              <w:left w:w="120" w:type="dxa"/>
              <w:bottom w:w="80" w:type="dxa"/>
              <w:right w:w="120" w:type="dxa"/>
            </w:tcMar>
          </w:tcPr>
          <w:p w14:paraId="000001FF" w14:textId="77777777" w:rsidR="00031725" w:rsidRDefault="00000000">
            <w:pPr>
              <w:spacing w:before="40" w:after="40"/>
              <w:rPr>
                <w:sz w:val="18"/>
                <w:szCs w:val="18"/>
              </w:rPr>
            </w:pPr>
            <w:r>
              <w:rPr>
                <w:sz w:val="18"/>
                <w:szCs w:val="18"/>
              </w:rPr>
              <w:t>Standards, Support</w:t>
            </w:r>
          </w:p>
        </w:tc>
        <w:tc>
          <w:tcPr>
            <w:tcW w:w="1485" w:type="dxa"/>
            <w:tcBorders>
              <w:top w:val="nil"/>
              <w:left w:val="nil"/>
              <w:bottom w:val="single" w:sz="5" w:space="0" w:color="005B52"/>
              <w:right w:val="single" w:sz="5" w:space="0" w:color="005B52"/>
            </w:tcBorders>
            <w:shd w:val="clear" w:color="auto" w:fill="FFF8E6"/>
            <w:tcMar>
              <w:top w:w="80" w:type="dxa"/>
              <w:left w:w="120" w:type="dxa"/>
              <w:bottom w:w="80" w:type="dxa"/>
              <w:right w:w="120" w:type="dxa"/>
            </w:tcMar>
          </w:tcPr>
          <w:p w14:paraId="00000200" w14:textId="77777777" w:rsidR="00031725" w:rsidRDefault="00000000">
            <w:pPr>
              <w:spacing w:before="40" w:after="40"/>
              <w:rPr>
                <w:b/>
                <w:bCs/>
                <w:color w:val="7F6000"/>
                <w:sz w:val="18"/>
                <w:szCs w:val="18"/>
              </w:rPr>
            </w:pPr>
            <w:r>
              <w:rPr>
                <w:b/>
                <w:bCs/>
                <w:color w:val="7F6000"/>
                <w:sz w:val="18"/>
                <w:szCs w:val="18"/>
              </w:rPr>
              <w:t>Future Consideration</w:t>
            </w:r>
          </w:p>
        </w:tc>
      </w:tr>
    </w:tbl>
    <w:p w14:paraId="00000201" w14:textId="77777777" w:rsidR="00031725" w:rsidRDefault="00000000">
      <w:pPr>
        <w:pStyle w:val="Heading1"/>
        <w:pBdr>
          <w:bottom w:val="single" w:sz="4" w:space="4" w:color="005B52"/>
        </w:pBdr>
      </w:pPr>
      <w:bookmarkStart w:id="17" w:name="_Toc233654393"/>
      <w:r>
        <w:t>5. Blueprint Considerations</w:t>
      </w:r>
      <w:bookmarkEnd w:id="17"/>
    </w:p>
    <w:p w14:paraId="00000202" w14:textId="77777777" w:rsidR="00031725" w:rsidRDefault="00000000">
      <w:r>
        <w:t>This Blueprint sets out an ambitious range of capabilities, and implementers will encounter tensions and contradictions between principles and features that must be navigated according to context. This section sets out the conditions that any implementation must satisfy before the architecture principles in Section 6 can be meaningfully put into practice. It addresses six areas: governance of the Data Director as an agentic AI system, covering agent behaviour, automation boundaries and human oversight; governance of the data on which it operates, covering legal, ethical and sovereignty requirements; how to resolve conflicts between requirements; operational readiness for deployment; and costs, sustainability and evaluation. Together these provide the foundation from which all other implementation decisions follow.</w:t>
      </w:r>
    </w:p>
    <w:p w14:paraId="00000203" w14:textId="77777777" w:rsidR="00031725" w:rsidRDefault="00000000">
      <w:r>
        <w:t>Both agentic AI governance and research data governance are large, complex, and rapidly evolving fields that extend well beyond the scope of this Blueprint. The considerations set out here are not intended to be exhaustive but to provide implementers with a principled starting point for trustworthy and sustainable deployment. Automation should proceed where governance conditions have been defined and met, not simply because a capability is technically available. Beyond these foundational constraints, implementers have the freedom to configure, prioritise, and extend the Data Director's capabilities in ways appropriate to their institutional, disciplinary, and jurisdictional context, and are encouraged to engage with relevant national frameworks, institutional policies, and emerging community standards as these fields develop.</w:t>
      </w:r>
    </w:p>
    <w:p w14:paraId="00000204" w14:textId="77777777" w:rsidR="00031725" w:rsidRDefault="00000000">
      <w:pPr>
        <w:pStyle w:val="Heading2"/>
      </w:pPr>
      <w:bookmarkStart w:id="18" w:name="_Toc233654394"/>
      <w:r>
        <w:t>5.1 Governance and Roles</w:t>
      </w:r>
      <w:bookmarkEnd w:id="18"/>
    </w:p>
    <w:p w14:paraId="00000205" w14:textId="77777777" w:rsidR="00031725" w:rsidRDefault="00000000">
      <w:pPr>
        <w:numPr>
          <w:ilvl w:val="0"/>
          <w:numId w:val="19"/>
        </w:numPr>
        <w:spacing w:after="0"/>
      </w:pPr>
      <w:r>
        <w:rPr>
          <w:b/>
          <w:bCs/>
        </w:rPr>
        <w:t xml:space="preserve">Define accountable human roles and responsibility assignments before configuring the tool. </w:t>
      </w:r>
      <w:r>
        <w:t>Who approves consequential decisions, who resolves policy exceptions, and who maintains configuration must be documented in governance agreements. Where multiple institutions collaborate, a dedicated inter-institutional framework agreement should be in place before deployment.</w:t>
      </w:r>
    </w:p>
    <w:p w14:paraId="00000206" w14:textId="77777777" w:rsidR="00031725" w:rsidRDefault="00000000">
      <w:pPr>
        <w:numPr>
          <w:ilvl w:val="0"/>
          <w:numId w:val="19"/>
        </w:numPr>
        <w:spacing w:after="0"/>
      </w:pPr>
      <w:r>
        <w:rPr>
          <w:b/>
          <w:bCs/>
        </w:rPr>
        <w:t>Establish a policy priority hierarchy before implementation.</w:t>
      </w:r>
      <w:r>
        <w:t xml:space="preserve"> Where institutional, funder, journal, and disciplinary requirements conflict, a documented resolution order must exist. The tool can surface conflicts but cannot resolve them without human-defined precedence rules.</w:t>
      </w:r>
    </w:p>
    <w:p w14:paraId="00000207" w14:textId="77777777" w:rsidR="00031725" w:rsidRDefault="00000000">
      <w:pPr>
        <w:numPr>
          <w:ilvl w:val="0"/>
          <w:numId w:val="19"/>
        </w:numPr>
      </w:pPr>
      <w:r>
        <w:rPr>
          <w:b/>
          <w:bCs/>
        </w:rPr>
        <w:t xml:space="preserve">Determine the level of human oversight required for each workflow before configuring automation. </w:t>
      </w:r>
      <w:r>
        <w:t xml:space="preserve">Distinguish between actions requiring explicit human approval and those requiring ongoing monitoring. Where a DMP exists, discrepancies </w:t>
      </w:r>
      <w:r>
        <w:lastRenderedPageBreak/>
        <w:t>with actual data publication should trigger human review rather than automatic blocking, since a DMP is a plan and not a binding contract.</w:t>
      </w:r>
    </w:p>
    <w:p w14:paraId="00000208" w14:textId="77777777" w:rsidR="00031725" w:rsidRDefault="00000000">
      <w:pPr>
        <w:pStyle w:val="Heading2"/>
      </w:pPr>
      <w:bookmarkStart w:id="19" w:name="_Toc233654395"/>
      <w:r>
        <w:t>5.2 Legal, Ethical and Sovereignty Prerequisites</w:t>
      </w:r>
      <w:bookmarkEnd w:id="19"/>
    </w:p>
    <w:p w14:paraId="00000209" w14:textId="77777777" w:rsidR="00031725" w:rsidRDefault="00000000">
      <w:pPr>
        <w:numPr>
          <w:ilvl w:val="0"/>
          <w:numId w:val="2"/>
        </w:numPr>
        <w:spacing w:after="0"/>
      </w:pPr>
      <w:r>
        <w:rPr>
          <w:b/>
          <w:bCs/>
        </w:rPr>
        <w:t>Treat legal, ethical, and human rights compliance as prerequisites for any sharing action.</w:t>
      </w:r>
      <w:r>
        <w:t xml:space="preserve"> Legal and ethical permissibility must be confirmed before workflows are enabled. Relevant ethics approval body status, such as an Institutional Review Board (IRB), Research Ethics Committee (REC), or equivalent national body, must be verified before data publication proceeds, and embargo status must be confirmed by the responsible human before any sharing workflow is triggered.</w:t>
      </w:r>
    </w:p>
    <w:p w14:paraId="0000020A" w14:textId="77777777" w:rsidR="00031725" w:rsidRDefault="00000000">
      <w:pPr>
        <w:numPr>
          <w:ilvl w:val="0"/>
          <w:numId w:val="2"/>
        </w:numPr>
        <w:spacing w:after="0"/>
      </w:pPr>
      <w:r>
        <w:rPr>
          <w:b/>
          <w:bCs/>
        </w:rPr>
        <w:t xml:space="preserve">Protect sensitive data from unauthorised access or ingestion at all stages of the workflow. </w:t>
      </w:r>
      <w:r>
        <w:t xml:space="preserve">Sensitive, personal, or legally restricted data must not be ingested by the large language model component of the tool without explicit institutional authorisation and appropriate legal safeguards. Technical controls must be in place to enforce this. </w:t>
      </w:r>
    </w:p>
    <w:p w14:paraId="0000020B" w14:textId="77777777" w:rsidR="00031725" w:rsidRDefault="00000000">
      <w:pPr>
        <w:numPr>
          <w:ilvl w:val="0"/>
          <w:numId w:val="2"/>
        </w:numPr>
        <w:spacing w:after="0"/>
      </w:pPr>
      <w:r>
        <w:rPr>
          <w:b/>
          <w:bCs/>
        </w:rPr>
        <w:t>Resolve data residency and cross-border transfer requirements at the architecture stage.</w:t>
      </w:r>
      <w:r>
        <w:t xml:space="preserve"> Implementers must document how AI processing, logs, temporary files, and backups will be managed within jurisdictional boundaries. Practical approaches to achieving this depend on institutional infrastructure.</w:t>
      </w:r>
    </w:p>
    <w:p w14:paraId="0000020C" w14:textId="77777777" w:rsidR="00031725" w:rsidRDefault="00000000">
      <w:pPr>
        <w:numPr>
          <w:ilvl w:val="0"/>
          <w:numId w:val="2"/>
        </w:numPr>
      </w:pPr>
      <w:r>
        <w:rPr>
          <w:b/>
          <w:bCs/>
        </w:rPr>
        <w:t>Ensure data sovereignty and community authority inform openness decisions from the outset, not retrospectively.</w:t>
      </w:r>
      <w:r>
        <w:t xml:space="preserve"> Indigenous data rights and national sovereignty obligations are conditions that shape what can be shared, not constraints to be accommodated afterwards. CARE principles must be applied as design inputs and must not be treated as a uniform standard, given significant variation across domains and communities.</w:t>
      </w:r>
    </w:p>
    <w:p w14:paraId="0000020D" w14:textId="77777777" w:rsidR="00031725" w:rsidRDefault="00000000">
      <w:pPr>
        <w:pStyle w:val="Heading2"/>
        <w:widowControl w:val="0"/>
        <w:spacing w:before="240" w:after="240"/>
      </w:pPr>
      <w:bookmarkStart w:id="20" w:name="_Toc233654396"/>
      <w:r>
        <w:t>5.3 Resolving Conflicting Requirements</w:t>
      </w:r>
      <w:bookmarkEnd w:id="20"/>
    </w:p>
    <w:p w14:paraId="0000020E" w14:textId="77777777" w:rsidR="00031725" w:rsidRDefault="00000000">
      <w:pPr>
        <w:spacing w:after="100"/>
      </w:pPr>
      <w:r>
        <w:t>Implementations will encounter genuine conflicts between requirements that cannot be resolved by the tool alone. Several architectural principles set out in Section 6 (Table 2) pull in opposing directions, and implementers must be prepared to make deliberate, documented decisions about how to resolve them. The following requirements apply to all implementations:</w:t>
      </w:r>
    </w:p>
    <w:p w14:paraId="0000020F" w14:textId="77777777" w:rsidR="00031725" w:rsidRDefault="00000000">
      <w:pPr>
        <w:numPr>
          <w:ilvl w:val="0"/>
          <w:numId w:val="17"/>
        </w:numPr>
        <w:spacing w:after="0"/>
      </w:pPr>
      <w:r>
        <w:rPr>
          <w:b/>
          <w:bCs/>
        </w:rPr>
        <w:t xml:space="preserve">Document how conflicts between principles have been resolved and make that reasoning visible to users and auditors. </w:t>
      </w:r>
      <w:r>
        <w:t>Resolution decisions must be recorded and communicated rather than left implicit in configuration choices.</w:t>
      </w:r>
    </w:p>
    <w:p w14:paraId="00000210" w14:textId="77777777" w:rsidR="00031725" w:rsidRDefault="00000000">
      <w:pPr>
        <w:numPr>
          <w:ilvl w:val="0"/>
          <w:numId w:val="17"/>
        </w:numPr>
        <w:spacing w:after="100"/>
      </w:pPr>
      <w:r>
        <w:rPr>
          <w:b/>
          <w:bCs/>
        </w:rPr>
        <w:t>Open data must remain openly accessible regardless of the security or encryption measures applied to the underlying infrastructure</w:t>
      </w:r>
      <w:r>
        <w:t>. Encryption at rest and in transit protects infrastructure and must not be used to restrict access to datasets that are designated as open.</w:t>
      </w:r>
    </w:p>
    <w:p w14:paraId="00000211" w14:textId="77777777" w:rsidR="00031725" w:rsidRDefault="00000000">
      <w:pPr>
        <w:pStyle w:val="Heading2"/>
      </w:pPr>
      <w:bookmarkStart w:id="21" w:name="_Toc233654397"/>
      <w:r>
        <w:t>5.4 AI Behaviour and Automation</w:t>
      </w:r>
      <w:bookmarkEnd w:id="21"/>
      <w:r>
        <w:t xml:space="preserve"> </w:t>
      </w:r>
    </w:p>
    <w:p w14:paraId="00000212" w14:textId="77777777" w:rsidR="00031725" w:rsidRDefault="00000000">
      <w:pPr>
        <w:numPr>
          <w:ilvl w:val="0"/>
          <w:numId w:val="31"/>
        </w:numPr>
        <w:spacing w:after="0"/>
      </w:pPr>
      <w:r>
        <w:rPr>
          <w:b/>
          <w:bCs/>
        </w:rPr>
        <w:t>Ensure that agents do not operate anonymously.</w:t>
      </w:r>
      <w:r>
        <w:t xml:space="preserve"> All agent actions must be executed on behalf of a named, identified human user, and both the agent identity and </w:t>
      </w:r>
      <w:r>
        <w:lastRenderedPageBreak/>
        <w:t>the human it acts for must form part of the provenance record. Where an agent acts on behalf of an institution rather than an individual, a designated accountable human role must be defined and documented.</w:t>
      </w:r>
    </w:p>
    <w:p w14:paraId="00000213" w14:textId="77777777" w:rsidR="00031725" w:rsidRDefault="00000000">
      <w:pPr>
        <w:numPr>
          <w:ilvl w:val="0"/>
          <w:numId w:val="31"/>
        </w:numPr>
        <w:spacing w:after="0"/>
      </w:pPr>
      <w:r>
        <w:rPr>
          <w:b/>
          <w:bCs/>
        </w:rPr>
        <w:t xml:space="preserve">Require that all agent actions on data and metadata are recorded and traceable, consistent with functional requirement R10 in Section 7.1. </w:t>
      </w:r>
      <w:r>
        <w:t xml:space="preserve">A recognised provenance standard such as </w:t>
      </w:r>
      <w:hyperlink r:id="rId24">
        <w:r w:rsidR="00031725">
          <w:rPr>
            <w:color w:val="1155CC"/>
            <w:u w:val="single"/>
          </w:rPr>
          <w:t>PROV-O</w:t>
        </w:r>
      </w:hyperlink>
      <w:r>
        <w:rPr>
          <w:vertAlign w:val="superscript"/>
        </w:rPr>
        <w:footnoteReference w:id="15"/>
      </w:r>
      <w:r>
        <w:t xml:space="preserve"> should be adopted to ensure records are structured, interoperable, and auditable.</w:t>
      </w:r>
    </w:p>
    <w:p w14:paraId="4559A8B6" w14:textId="4139E2D0" w:rsidR="007E4ECD" w:rsidRDefault="007E4ECD">
      <w:pPr>
        <w:numPr>
          <w:ilvl w:val="0"/>
          <w:numId w:val="31"/>
        </w:numPr>
        <w:spacing w:after="0"/>
      </w:pPr>
      <w:r w:rsidRPr="007E4ECD">
        <w:rPr>
          <w:b/>
          <w:bCs/>
        </w:rPr>
        <w:t>Where a dataset arrives with existing provenance information, the Data Director must preserve and carry forward that record rather than replacing or discarding it</w:t>
      </w:r>
      <w:r>
        <w:t>; new agent actions are appended to the existing provenance chain.</w:t>
      </w:r>
    </w:p>
    <w:p w14:paraId="00000214" w14:textId="77777777" w:rsidR="00031725" w:rsidRDefault="00000000">
      <w:pPr>
        <w:numPr>
          <w:ilvl w:val="0"/>
          <w:numId w:val="31"/>
        </w:numPr>
        <w:spacing w:after="0"/>
      </w:pPr>
      <w:r>
        <w:rPr>
          <w:b/>
          <w:bCs/>
        </w:rPr>
        <w:t xml:space="preserve">Enable automation only where governance conditions have been defined and met, not simply because a capability is technically available. </w:t>
      </w:r>
      <w:r>
        <w:t>Consequential decisions must remain with accountable humans. Override rights for AI outputs must be role-based and governed, not open to all users.</w:t>
      </w:r>
    </w:p>
    <w:p w14:paraId="00000215" w14:textId="77777777" w:rsidR="00031725" w:rsidRDefault="00000000">
      <w:pPr>
        <w:numPr>
          <w:ilvl w:val="0"/>
          <w:numId w:val="31"/>
        </w:numPr>
        <w:spacing w:after="0"/>
      </w:pPr>
      <w:r>
        <w:rPr>
          <w:b/>
          <w:bCs/>
        </w:rPr>
        <w:t xml:space="preserve">Where personal identifiers or sensitive information are flagged or detected, the tool must pause the sharing process rather than acting autonomously. </w:t>
      </w:r>
      <w:r>
        <w:t>The researcher must be directed to appropriate external anonymisation or deidentification workflows before the sharing process can proceed.</w:t>
      </w:r>
    </w:p>
    <w:p w14:paraId="00000216" w14:textId="77777777" w:rsidR="00031725" w:rsidRDefault="00000000">
      <w:pPr>
        <w:numPr>
          <w:ilvl w:val="0"/>
          <w:numId w:val="31"/>
        </w:numPr>
        <w:spacing w:after="0"/>
      </w:pPr>
      <w:r>
        <w:rPr>
          <w:b/>
          <w:bCs/>
        </w:rPr>
        <w:t>Define explicit agent behaviour for when no controlled vocabulary, ontology, or community standard exists.</w:t>
      </w:r>
      <w:r>
        <w:t xml:space="preserve"> The tool must state the absence openly rather than falling back silently to general-purpose alternatives. In domains where no prior FAIR work has taken place, outputs may be entirely generic; implementations must detect and record this condition, communicate it clearly to the user, and include it in the provenance chain.</w:t>
      </w:r>
    </w:p>
    <w:p w14:paraId="6F0019D6" w14:textId="23EFF994" w:rsidR="007A20A6" w:rsidRDefault="00000000" w:rsidP="007A20A6">
      <w:pPr>
        <w:numPr>
          <w:ilvl w:val="0"/>
          <w:numId w:val="31"/>
        </w:numPr>
      </w:pPr>
      <w:r>
        <w:rPr>
          <w:b/>
          <w:bCs/>
        </w:rPr>
        <w:t>Prevent poor-quality AI-generated metadata from reaching repositories.</w:t>
      </w:r>
      <w:r>
        <w:t xml:space="preserve"> Quality checks on AI outputs must be a core capability, not an optional enhancement. Generic, uncurated, or inaccurate outputs must be flagged for mandatory human review before submission. This is distinct from FAIR assessment, which evaluates metadata against recognised external standards.</w:t>
      </w:r>
    </w:p>
    <w:p w14:paraId="00000218" w14:textId="77777777" w:rsidR="00031725" w:rsidRDefault="00000000">
      <w:pPr>
        <w:pStyle w:val="Heading2"/>
      </w:pPr>
      <w:bookmarkStart w:id="22" w:name="_Toc233654398"/>
      <w:r>
        <w:t>5.5 Operational Readiness</w:t>
      </w:r>
      <w:bookmarkEnd w:id="22"/>
    </w:p>
    <w:p w14:paraId="00000219" w14:textId="77777777" w:rsidR="00031725" w:rsidRDefault="00000000">
      <w:pPr>
        <w:numPr>
          <w:ilvl w:val="0"/>
          <w:numId w:val="7"/>
        </w:numPr>
        <w:spacing w:after="0"/>
      </w:pPr>
      <w:r>
        <w:rPr>
          <w:b/>
          <w:bCs/>
        </w:rPr>
        <w:t xml:space="preserve">Define rollback and recovery mechanisms that do not compromise traceability or auditability. </w:t>
      </w:r>
      <w:r>
        <w:t>Recovery to a known good state must be designed alongside provenance tracking so that interpretability and auditability are maintained through failure and recovery events.</w:t>
      </w:r>
    </w:p>
    <w:p w14:paraId="0000021A" w14:textId="77777777" w:rsidR="00031725" w:rsidRDefault="00000000">
      <w:pPr>
        <w:numPr>
          <w:ilvl w:val="0"/>
          <w:numId w:val="7"/>
        </w:numPr>
        <w:spacing w:after="0"/>
      </w:pPr>
      <w:r>
        <w:rPr>
          <w:b/>
          <w:bCs/>
        </w:rPr>
        <w:t>Assess whether sufficient technical, policy, and data management capacity exists to configure and maintain the tool before proceeding with deployment.</w:t>
      </w:r>
      <w:r>
        <w:t xml:space="preserve"> This includes the availability of staff who can manage technical configuration, maintain policy mappings as requirements change, and provide human oversight of AI-generated outputs.</w:t>
      </w:r>
    </w:p>
    <w:p w14:paraId="0000021B" w14:textId="77777777" w:rsidR="00031725" w:rsidRDefault="00000000">
      <w:pPr>
        <w:numPr>
          <w:ilvl w:val="0"/>
          <w:numId w:val="7"/>
        </w:numPr>
        <w:spacing w:after="0"/>
      </w:pPr>
      <w:r>
        <w:rPr>
          <w:b/>
          <w:bCs/>
        </w:rPr>
        <w:lastRenderedPageBreak/>
        <w:t>Guard against over-reliance on the tool, which can erode in-house research data management expertise over time.</w:t>
      </w:r>
      <w:r>
        <w:t xml:space="preserve"> Deployment should be accompanied by investment in researcher and data professional skills, as noted in Section 3.1.3.</w:t>
      </w:r>
    </w:p>
    <w:p w14:paraId="0000021D" w14:textId="751B2E23" w:rsidR="00031725" w:rsidRDefault="00000000" w:rsidP="00204CC6">
      <w:pPr>
        <w:numPr>
          <w:ilvl w:val="0"/>
          <w:numId w:val="7"/>
        </w:numPr>
      </w:pPr>
      <w:r>
        <w:rPr>
          <w:b/>
          <w:bCs/>
        </w:rPr>
        <w:t>Calibrate reliability and uptime targets to the deployment context.</w:t>
      </w:r>
      <w:r>
        <w:t xml:space="preserve"> Commitments appropriate for national infrastructure are not realistic for locally hosted or resource-constrained deployments.</w:t>
      </w:r>
    </w:p>
    <w:p w14:paraId="0000021E" w14:textId="77777777" w:rsidR="00031725" w:rsidRDefault="00000000">
      <w:pPr>
        <w:pStyle w:val="Heading2"/>
      </w:pPr>
      <w:bookmarkStart w:id="23" w:name="_Toc233654399"/>
      <w:r>
        <w:t>5.6 Costs, Sustainability and Evaluation</w:t>
      </w:r>
      <w:bookmarkEnd w:id="23"/>
    </w:p>
    <w:p w14:paraId="0000021F" w14:textId="77777777" w:rsidR="00031725" w:rsidRDefault="00000000">
      <w:pPr>
        <w:numPr>
          <w:ilvl w:val="0"/>
          <w:numId w:val="24"/>
        </w:numPr>
        <w:spacing w:after="0"/>
      </w:pPr>
      <w:r>
        <w:rPr>
          <w:b/>
          <w:bCs/>
        </w:rPr>
        <w:t>Make all implementation costs explicit and plan for the ongoing sustainability of the deployment from the outset.</w:t>
      </w:r>
      <w:r>
        <w:t xml:space="preserve"> Costs to document include deposit fees, PID registration costs, per-unit AI processing costs, staff time for configuration and ongoing maintenance, and the risk of scaling costs as usage grows. Institutions should model costs at projected scale before committing to deployment.</w:t>
      </w:r>
    </w:p>
    <w:p w14:paraId="00000220" w14:textId="77777777" w:rsidR="00031725" w:rsidRDefault="00000000">
      <w:pPr>
        <w:numPr>
          <w:ilvl w:val="0"/>
          <w:numId w:val="24"/>
        </w:numPr>
        <w:spacing w:after="0"/>
      </w:pPr>
      <w:r>
        <w:rPr>
          <w:b/>
          <w:bCs/>
        </w:rPr>
        <w:t>Ensure that implementation decisions do not introduce features, add-ons, or dependencies that make the tool inaccessible to lower-resource institutions.</w:t>
      </w:r>
      <w:r>
        <w:t xml:space="preserve"> Cost barriers and irreversible technical dependencies must be actively avoided, consistent with the affordability requirement set out in Section 7.2 (C17).</w:t>
      </w:r>
    </w:p>
    <w:p w14:paraId="00000221" w14:textId="77777777" w:rsidR="00031725" w:rsidRDefault="00000000">
      <w:pPr>
        <w:numPr>
          <w:ilvl w:val="0"/>
          <w:numId w:val="24"/>
        </w:numPr>
        <w:spacing w:after="0"/>
      </w:pPr>
      <w:r>
        <w:rPr>
          <w:b/>
          <w:bCs/>
        </w:rPr>
        <w:t>Establish a FAIRness baseline before deployment and define what metrics will demonstrate value over time.</w:t>
      </w:r>
      <w:r>
        <w:t xml:space="preserve"> </w:t>
      </w:r>
    </w:p>
    <w:p w14:paraId="00000222" w14:textId="77777777" w:rsidR="00031725" w:rsidRDefault="00000000">
      <w:pPr>
        <w:numPr>
          <w:ilvl w:val="0"/>
          <w:numId w:val="24"/>
        </w:numPr>
      </w:pPr>
      <w:r>
        <w:rPr>
          <w:b/>
          <w:bCs/>
        </w:rPr>
        <w:t xml:space="preserve">Ensure the tool meets recognised digital accessibility standards and is operable in resource-constrained environments. </w:t>
      </w:r>
      <w:r>
        <w:t xml:space="preserve">Recommendations produced by the tool must be evaluated for implicit bias to ensure underrepresented communities and non-dominant metadata standards are not systematically excluded. </w:t>
      </w:r>
    </w:p>
    <w:p w14:paraId="00000223" w14:textId="77777777" w:rsidR="00031725" w:rsidRDefault="00000000">
      <w:pPr>
        <w:pStyle w:val="Heading1"/>
        <w:pBdr>
          <w:bottom w:val="single" w:sz="4" w:space="4" w:color="005B52"/>
        </w:pBdr>
      </w:pPr>
      <w:bookmarkStart w:id="24" w:name="_Toc233654400"/>
      <w:r>
        <w:t>6. Architecture Principles</w:t>
      </w:r>
      <w:bookmarkEnd w:id="24"/>
    </w:p>
    <w:p w14:paraId="00000224" w14:textId="493C8366" w:rsidR="00031725" w:rsidRDefault="00000000">
      <w:pPr>
        <w:spacing w:before="240" w:after="240"/>
      </w:pPr>
      <w:r>
        <w:t xml:space="preserve">The following 14 principles govern all architectural decisions in this Blueprint and should be applied consistently across all layers and components (Table 2). They should be read alongside the Blueprint </w:t>
      </w:r>
      <w:r w:rsidR="005D30C9">
        <w:t>Considerations</w:t>
      </w:r>
      <w:r>
        <w:t xml:space="preserve"> in Section 5, which set out the conditions that any implementation must satisfy before these principles can be meaningfully put into practice. The two are complementary: where the principles set direction and design intent, the considerations define the boundaries within which that direction must be pursued. Where principles pull in opposing directions, Section 5.3 sets out how to resolve them. Implementers may extend this list</w:t>
      </w:r>
      <w:r w:rsidR="00204CC6">
        <w:t>,</w:t>
      </w:r>
      <w:r>
        <w:t xml:space="preserve"> but should not remove or contradict these principles without community agreement.</w:t>
      </w:r>
    </w:p>
    <w:p w14:paraId="00000225" w14:textId="77777777" w:rsidR="00031725" w:rsidRDefault="00031725">
      <w:pPr>
        <w:spacing w:before="240" w:after="240"/>
      </w:pPr>
    </w:p>
    <w:p w14:paraId="00000226" w14:textId="77777777" w:rsidR="00031725" w:rsidRDefault="00031725">
      <w:pPr>
        <w:spacing w:before="240" w:after="240"/>
      </w:pPr>
    </w:p>
    <w:p w14:paraId="00000227" w14:textId="77777777" w:rsidR="00031725" w:rsidRDefault="00031725">
      <w:pPr>
        <w:spacing w:before="240" w:after="240"/>
      </w:pPr>
    </w:p>
    <w:p w14:paraId="0000022C" w14:textId="77777777" w:rsidR="00031725" w:rsidRDefault="00000000">
      <w:pPr>
        <w:spacing w:before="240" w:after="240"/>
        <w:rPr>
          <w:sz w:val="18"/>
          <w:szCs w:val="18"/>
        </w:rPr>
      </w:pPr>
      <w:r>
        <w:rPr>
          <w:b/>
          <w:bCs/>
          <w:sz w:val="18"/>
          <w:szCs w:val="18"/>
        </w:rPr>
        <w:lastRenderedPageBreak/>
        <w:t xml:space="preserve">Table 2. </w:t>
      </w:r>
      <w:r>
        <w:rPr>
          <w:sz w:val="18"/>
          <w:szCs w:val="18"/>
        </w:rPr>
        <w:t xml:space="preserve">The 14 architecture principles governing all design decisions in this Blueprint, showing the governing rule, what each principle requires, and what it means for implementers in practice. </w:t>
      </w:r>
    </w:p>
    <w:tbl>
      <w:tblPr>
        <w:tblStyle w:val="a2"/>
        <w:tblW w:w="90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70"/>
        <w:gridCol w:w="1650"/>
        <w:gridCol w:w="3255"/>
        <w:gridCol w:w="3240"/>
      </w:tblGrid>
      <w:tr w:rsidR="00031725" w14:paraId="0742C5DC" w14:textId="77777777">
        <w:trPr>
          <w:trHeight w:val="358"/>
        </w:trPr>
        <w:tc>
          <w:tcPr>
            <w:tcW w:w="870" w:type="dxa"/>
            <w:tcBorders>
              <w:top w:val="single" w:sz="5" w:space="0" w:color="005B52"/>
              <w:left w:val="single" w:sz="5" w:space="0" w:color="005B52"/>
              <w:bottom w:val="single" w:sz="5" w:space="0" w:color="005B52"/>
              <w:right w:val="single" w:sz="5" w:space="0" w:color="005B52"/>
            </w:tcBorders>
            <w:shd w:val="clear" w:color="auto" w:fill="005B52"/>
            <w:tcMar>
              <w:top w:w="80" w:type="dxa"/>
              <w:left w:w="120" w:type="dxa"/>
              <w:bottom w:w="80" w:type="dxa"/>
              <w:right w:w="120" w:type="dxa"/>
            </w:tcMar>
          </w:tcPr>
          <w:p w14:paraId="0000022D" w14:textId="77777777" w:rsidR="00031725" w:rsidRDefault="00000000">
            <w:pPr>
              <w:spacing w:after="0"/>
              <w:jc w:val="center"/>
              <w:rPr>
                <w:b/>
                <w:bCs/>
                <w:color w:val="FFFFFF"/>
                <w:sz w:val="18"/>
                <w:szCs w:val="18"/>
              </w:rPr>
            </w:pPr>
            <w:r>
              <w:rPr>
                <w:b/>
                <w:bCs/>
                <w:color w:val="FFFFFF"/>
                <w:sz w:val="18"/>
                <w:szCs w:val="18"/>
              </w:rPr>
              <w:t>ID</w:t>
            </w:r>
          </w:p>
        </w:tc>
        <w:tc>
          <w:tcPr>
            <w:tcW w:w="1650" w:type="dxa"/>
            <w:tcBorders>
              <w:top w:val="single" w:sz="5" w:space="0" w:color="005B52"/>
              <w:left w:val="single" w:sz="5" w:space="0" w:color="005B52"/>
              <w:bottom w:val="single" w:sz="5" w:space="0" w:color="005B52"/>
              <w:right w:val="single" w:sz="5" w:space="0" w:color="005B52"/>
            </w:tcBorders>
            <w:shd w:val="clear" w:color="auto" w:fill="005B52"/>
            <w:tcMar>
              <w:top w:w="80" w:type="dxa"/>
              <w:left w:w="120" w:type="dxa"/>
              <w:bottom w:w="80" w:type="dxa"/>
              <w:right w:w="120" w:type="dxa"/>
            </w:tcMar>
          </w:tcPr>
          <w:p w14:paraId="0000022E" w14:textId="77777777" w:rsidR="00031725" w:rsidRDefault="00000000">
            <w:pPr>
              <w:spacing w:after="0"/>
              <w:jc w:val="center"/>
              <w:rPr>
                <w:b/>
                <w:bCs/>
                <w:color w:val="FFFFFF"/>
                <w:sz w:val="18"/>
                <w:szCs w:val="18"/>
              </w:rPr>
            </w:pPr>
            <w:r>
              <w:rPr>
                <w:b/>
                <w:bCs/>
                <w:color w:val="FFFFFF"/>
                <w:sz w:val="18"/>
                <w:szCs w:val="18"/>
              </w:rPr>
              <w:t>Principle</w:t>
            </w:r>
          </w:p>
        </w:tc>
        <w:tc>
          <w:tcPr>
            <w:tcW w:w="3255" w:type="dxa"/>
            <w:tcBorders>
              <w:top w:val="single" w:sz="5" w:space="0" w:color="005B52"/>
              <w:left w:val="single" w:sz="5" w:space="0" w:color="005B52"/>
              <w:bottom w:val="single" w:sz="5" w:space="0" w:color="005B52"/>
              <w:right w:val="single" w:sz="5" w:space="0" w:color="005B52"/>
            </w:tcBorders>
            <w:shd w:val="clear" w:color="auto" w:fill="005B52"/>
            <w:tcMar>
              <w:top w:w="80" w:type="dxa"/>
              <w:left w:w="120" w:type="dxa"/>
              <w:bottom w:w="80" w:type="dxa"/>
              <w:right w:w="120" w:type="dxa"/>
            </w:tcMar>
          </w:tcPr>
          <w:p w14:paraId="0000022F" w14:textId="77777777" w:rsidR="00031725" w:rsidRDefault="00000000">
            <w:pPr>
              <w:spacing w:after="0"/>
              <w:jc w:val="center"/>
              <w:rPr>
                <w:b/>
                <w:bCs/>
                <w:color w:val="FFFFFF"/>
                <w:sz w:val="18"/>
                <w:szCs w:val="18"/>
              </w:rPr>
            </w:pPr>
            <w:r>
              <w:rPr>
                <w:b/>
                <w:bCs/>
                <w:color w:val="FFFFFF"/>
                <w:sz w:val="18"/>
                <w:szCs w:val="18"/>
              </w:rPr>
              <w:t>Statement</w:t>
            </w:r>
          </w:p>
        </w:tc>
        <w:tc>
          <w:tcPr>
            <w:tcW w:w="3240" w:type="dxa"/>
            <w:tcBorders>
              <w:top w:val="single" w:sz="5" w:space="0" w:color="005B52"/>
              <w:left w:val="single" w:sz="5" w:space="0" w:color="005B52"/>
              <w:bottom w:val="single" w:sz="5" w:space="0" w:color="005B52"/>
              <w:right w:val="single" w:sz="5" w:space="0" w:color="005B52"/>
            </w:tcBorders>
            <w:shd w:val="clear" w:color="auto" w:fill="005B52"/>
            <w:tcMar>
              <w:top w:w="80" w:type="dxa"/>
              <w:left w:w="120" w:type="dxa"/>
              <w:bottom w:w="80" w:type="dxa"/>
              <w:right w:w="120" w:type="dxa"/>
            </w:tcMar>
          </w:tcPr>
          <w:p w14:paraId="00000230" w14:textId="77777777" w:rsidR="00031725" w:rsidRDefault="00000000">
            <w:pPr>
              <w:spacing w:after="0"/>
              <w:jc w:val="center"/>
              <w:rPr>
                <w:b/>
                <w:bCs/>
                <w:color w:val="FFFFFF"/>
                <w:sz w:val="18"/>
                <w:szCs w:val="18"/>
              </w:rPr>
            </w:pPr>
            <w:r>
              <w:rPr>
                <w:b/>
                <w:bCs/>
                <w:color w:val="FFFFFF"/>
                <w:sz w:val="18"/>
                <w:szCs w:val="18"/>
              </w:rPr>
              <w:t>Implication</w:t>
            </w:r>
          </w:p>
        </w:tc>
      </w:tr>
      <w:tr w:rsidR="00031725" w14:paraId="27AD3AFA" w14:textId="77777777">
        <w:trPr>
          <w:trHeight w:val="585"/>
        </w:trPr>
        <w:tc>
          <w:tcPr>
            <w:tcW w:w="870" w:type="dxa"/>
            <w:tcBorders>
              <w:top w:val="single" w:sz="5" w:space="0" w:color="005B52"/>
              <w:left w:val="single" w:sz="5" w:space="0" w:color="005B52"/>
              <w:bottom w:val="single" w:sz="5" w:space="0" w:color="005B52"/>
              <w:right w:val="single" w:sz="5" w:space="0" w:color="005B52"/>
            </w:tcBorders>
            <w:shd w:val="clear" w:color="auto" w:fill="005B52"/>
            <w:tcMar>
              <w:top w:w="80" w:type="dxa"/>
              <w:left w:w="120" w:type="dxa"/>
              <w:bottom w:w="80" w:type="dxa"/>
              <w:right w:w="120" w:type="dxa"/>
            </w:tcMar>
          </w:tcPr>
          <w:p w14:paraId="00000231" w14:textId="77777777" w:rsidR="00031725" w:rsidRDefault="00000000">
            <w:pPr>
              <w:spacing w:after="0"/>
              <w:jc w:val="center"/>
              <w:rPr>
                <w:sz w:val="18"/>
                <w:szCs w:val="18"/>
              </w:rPr>
            </w:pPr>
            <w:r>
              <w:rPr>
                <w:sz w:val="18"/>
                <w:szCs w:val="18"/>
              </w:rPr>
              <w:t xml:space="preserve"> </w:t>
            </w:r>
          </w:p>
        </w:tc>
        <w:tc>
          <w:tcPr>
            <w:tcW w:w="1650" w:type="dxa"/>
            <w:tcBorders>
              <w:top w:val="single" w:sz="5" w:space="0" w:color="005B52"/>
              <w:left w:val="single" w:sz="5" w:space="0" w:color="005B52"/>
              <w:bottom w:val="single" w:sz="5" w:space="0" w:color="005B52"/>
              <w:right w:val="single" w:sz="5" w:space="0" w:color="005B52"/>
            </w:tcBorders>
            <w:shd w:val="clear" w:color="auto" w:fill="005B52"/>
            <w:tcMar>
              <w:top w:w="80" w:type="dxa"/>
              <w:left w:w="120" w:type="dxa"/>
              <w:bottom w:w="80" w:type="dxa"/>
              <w:right w:w="120" w:type="dxa"/>
            </w:tcMar>
          </w:tcPr>
          <w:p w14:paraId="00000232" w14:textId="77777777" w:rsidR="00031725" w:rsidRDefault="00000000">
            <w:pPr>
              <w:spacing w:after="0"/>
              <w:jc w:val="center"/>
              <w:rPr>
                <w:i/>
                <w:iCs/>
                <w:color w:val="FFFFFF"/>
                <w:sz w:val="18"/>
                <w:szCs w:val="18"/>
              </w:rPr>
            </w:pPr>
            <w:r>
              <w:rPr>
                <w:i/>
                <w:iCs/>
                <w:color w:val="FFFFFF"/>
                <w:sz w:val="18"/>
                <w:szCs w:val="18"/>
              </w:rPr>
              <w:t>Name of the governing rule</w:t>
            </w:r>
          </w:p>
        </w:tc>
        <w:tc>
          <w:tcPr>
            <w:tcW w:w="3255" w:type="dxa"/>
            <w:tcBorders>
              <w:top w:val="single" w:sz="5" w:space="0" w:color="005B52"/>
              <w:left w:val="single" w:sz="5" w:space="0" w:color="005B52"/>
              <w:bottom w:val="single" w:sz="5" w:space="0" w:color="005B52"/>
              <w:right w:val="single" w:sz="5" w:space="0" w:color="005B52"/>
            </w:tcBorders>
            <w:shd w:val="clear" w:color="auto" w:fill="005B52"/>
            <w:tcMar>
              <w:top w:w="80" w:type="dxa"/>
              <w:left w:w="120" w:type="dxa"/>
              <w:bottom w:w="80" w:type="dxa"/>
              <w:right w:w="120" w:type="dxa"/>
            </w:tcMar>
          </w:tcPr>
          <w:p w14:paraId="00000233" w14:textId="77777777" w:rsidR="00031725" w:rsidRDefault="00000000">
            <w:pPr>
              <w:spacing w:after="0"/>
              <w:jc w:val="center"/>
              <w:rPr>
                <w:i/>
                <w:iCs/>
                <w:color w:val="FFFFFF"/>
                <w:sz w:val="18"/>
                <w:szCs w:val="18"/>
              </w:rPr>
            </w:pPr>
            <w:r>
              <w:rPr>
                <w:i/>
                <w:iCs/>
                <w:color w:val="FFFFFF"/>
                <w:sz w:val="18"/>
                <w:szCs w:val="18"/>
              </w:rPr>
              <w:t>What the principle requires</w:t>
            </w:r>
          </w:p>
        </w:tc>
        <w:tc>
          <w:tcPr>
            <w:tcW w:w="3240" w:type="dxa"/>
            <w:tcBorders>
              <w:top w:val="single" w:sz="5" w:space="0" w:color="005B52"/>
              <w:left w:val="single" w:sz="5" w:space="0" w:color="005B52"/>
              <w:bottom w:val="single" w:sz="5" w:space="0" w:color="005B52"/>
              <w:right w:val="single" w:sz="5" w:space="0" w:color="005B52"/>
            </w:tcBorders>
            <w:shd w:val="clear" w:color="auto" w:fill="005B52"/>
            <w:tcMar>
              <w:top w:w="80" w:type="dxa"/>
              <w:left w:w="120" w:type="dxa"/>
              <w:bottom w:w="80" w:type="dxa"/>
              <w:right w:w="120" w:type="dxa"/>
            </w:tcMar>
          </w:tcPr>
          <w:p w14:paraId="00000234" w14:textId="77777777" w:rsidR="00031725" w:rsidRDefault="00000000">
            <w:pPr>
              <w:spacing w:after="0"/>
              <w:jc w:val="center"/>
              <w:rPr>
                <w:i/>
                <w:iCs/>
                <w:color w:val="FFFFFF"/>
                <w:sz w:val="18"/>
                <w:szCs w:val="18"/>
              </w:rPr>
            </w:pPr>
            <w:r>
              <w:rPr>
                <w:i/>
                <w:iCs/>
                <w:color w:val="FFFFFF"/>
                <w:sz w:val="18"/>
                <w:szCs w:val="18"/>
              </w:rPr>
              <w:t>What this means for implementers in practice</w:t>
            </w:r>
          </w:p>
        </w:tc>
      </w:tr>
      <w:tr w:rsidR="00031725" w14:paraId="3BBC492F" w14:textId="77777777">
        <w:trPr>
          <w:trHeight w:val="3840"/>
        </w:trPr>
        <w:tc>
          <w:tcPr>
            <w:tcW w:w="87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35" w14:textId="77777777" w:rsidR="00031725" w:rsidRDefault="00000000">
            <w:pPr>
              <w:spacing w:after="0"/>
              <w:jc w:val="center"/>
              <w:rPr>
                <w:b/>
                <w:bCs/>
                <w:sz w:val="18"/>
                <w:szCs w:val="18"/>
              </w:rPr>
            </w:pPr>
            <w:r>
              <w:rPr>
                <w:b/>
                <w:bCs/>
                <w:sz w:val="18"/>
                <w:szCs w:val="18"/>
              </w:rPr>
              <w:t>P1</w:t>
            </w:r>
          </w:p>
        </w:tc>
        <w:tc>
          <w:tcPr>
            <w:tcW w:w="165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36" w14:textId="77777777" w:rsidR="00031725" w:rsidRDefault="00000000">
            <w:pPr>
              <w:spacing w:after="0"/>
              <w:rPr>
                <w:b/>
                <w:bCs/>
                <w:sz w:val="18"/>
                <w:szCs w:val="18"/>
              </w:rPr>
            </w:pPr>
            <w:r>
              <w:rPr>
                <w:b/>
                <w:bCs/>
                <w:sz w:val="18"/>
                <w:szCs w:val="18"/>
              </w:rPr>
              <w:t>FAIR and CARE</w:t>
            </w:r>
          </w:p>
        </w:tc>
        <w:tc>
          <w:tcPr>
            <w:tcW w:w="325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37" w14:textId="77777777" w:rsidR="00031725" w:rsidRDefault="00000000">
            <w:pPr>
              <w:spacing w:after="0"/>
              <w:rPr>
                <w:sz w:val="18"/>
                <w:szCs w:val="18"/>
              </w:rPr>
            </w:pPr>
            <w:r>
              <w:rPr>
                <w:sz w:val="18"/>
                <w:szCs w:val="18"/>
              </w:rPr>
              <w:t>All Data Director capabilities must actively support the Findability, Accessibility, Interoperability and Reusability of research data as a primary design objective. Where data relates to Indigenous or community-held knowledge, CARE principles (Collective Benefit, Authority to Control, Responsibility, Ethics) must be applied alongside FAIR.</w:t>
            </w:r>
          </w:p>
        </w:tc>
        <w:tc>
          <w:tcPr>
            <w:tcW w:w="324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38" w14:textId="77777777" w:rsidR="00031725" w:rsidRDefault="00000000">
            <w:pPr>
              <w:spacing w:after="0"/>
              <w:rPr>
                <w:sz w:val="18"/>
                <w:szCs w:val="18"/>
              </w:rPr>
            </w:pPr>
            <w:r>
              <w:rPr>
                <w:sz w:val="18"/>
                <w:szCs w:val="18"/>
              </w:rPr>
              <w:t>All workflows, metadata schemas, PID assignment and repository recommendations must be designed and evaluated against FAIR criteria, with each FAIR dimension explicitly supported in implementation from the outset. While connection to community-recognised evaluation tools and RDA-approved benchmarks is a future capability, the architecture must be designed to support this connection when it becomes available. Where CARE principles apply, particularly in contexts involving Indigenous data or community-held knowledge, they must be treated as context-specific rather than universal. Their application requires direct engagement with the relevant Indigenous and community stakeholders and cannot be reduced to a checklist assessment.</w:t>
            </w:r>
          </w:p>
        </w:tc>
      </w:tr>
      <w:tr w:rsidR="00031725" w14:paraId="41506B0A" w14:textId="77777777">
        <w:trPr>
          <w:trHeight w:val="2625"/>
        </w:trPr>
        <w:tc>
          <w:tcPr>
            <w:tcW w:w="870" w:type="dxa"/>
            <w:tcBorders>
              <w:top w:val="single" w:sz="5" w:space="0" w:color="005B52"/>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239" w14:textId="77777777" w:rsidR="00031725" w:rsidRDefault="00000000">
            <w:pPr>
              <w:spacing w:after="0"/>
              <w:jc w:val="center"/>
              <w:rPr>
                <w:b/>
                <w:bCs/>
                <w:sz w:val="18"/>
                <w:szCs w:val="18"/>
              </w:rPr>
            </w:pPr>
            <w:r>
              <w:rPr>
                <w:b/>
                <w:bCs/>
                <w:sz w:val="18"/>
                <w:szCs w:val="18"/>
              </w:rPr>
              <w:t>P2</w:t>
            </w:r>
          </w:p>
        </w:tc>
        <w:tc>
          <w:tcPr>
            <w:tcW w:w="1650" w:type="dxa"/>
            <w:tcBorders>
              <w:top w:val="single" w:sz="5" w:space="0" w:color="005B52"/>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23A" w14:textId="77777777" w:rsidR="00031725" w:rsidRDefault="00000000">
            <w:pPr>
              <w:spacing w:after="0"/>
              <w:rPr>
                <w:b/>
                <w:bCs/>
                <w:sz w:val="18"/>
                <w:szCs w:val="18"/>
              </w:rPr>
            </w:pPr>
            <w:r>
              <w:rPr>
                <w:b/>
                <w:bCs/>
                <w:sz w:val="18"/>
                <w:szCs w:val="18"/>
              </w:rPr>
              <w:t>Open First</w:t>
            </w:r>
          </w:p>
        </w:tc>
        <w:tc>
          <w:tcPr>
            <w:tcW w:w="3255" w:type="dxa"/>
            <w:tcBorders>
              <w:top w:val="single" w:sz="5" w:space="0" w:color="005B52"/>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23B" w14:textId="77777777" w:rsidR="00031725" w:rsidRDefault="00000000">
            <w:pPr>
              <w:spacing w:after="0"/>
              <w:rPr>
                <w:sz w:val="18"/>
                <w:szCs w:val="18"/>
              </w:rPr>
            </w:pPr>
            <w:r>
              <w:rPr>
                <w:sz w:val="18"/>
                <w:szCs w:val="18"/>
              </w:rPr>
              <w:t>Data and metadata should be openly available unless a justified reason to restrict exists, respecting the principle of open as possible, closed as necessary. Being FAIR-aligned or technically shareable does not make data lawful to share. Legal and regulatory compliance is a condition for all data processing, sharing, and reuse actions.</w:t>
            </w:r>
          </w:p>
        </w:tc>
        <w:tc>
          <w:tcPr>
            <w:tcW w:w="3240" w:type="dxa"/>
            <w:tcBorders>
              <w:top w:val="single" w:sz="5" w:space="0" w:color="005B52"/>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23C" w14:textId="77777777" w:rsidR="00031725" w:rsidRDefault="00000000">
            <w:pPr>
              <w:spacing w:after="0"/>
              <w:rPr>
                <w:sz w:val="18"/>
                <w:szCs w:val="18"/>
              </w:rPr>
            </w:pPr>
            <w:r>
              <w:rPr>
                <w:sz w:val="18"/>
                <w:szCs w:val="18"/>
              </w:rPr>
              <w:t>Default sharing must be open; restrictions must reference a legitimate legal basis (for example, health data, national security, or data protection law). Closed-by-default is not compliant. Where restricted, a non-sensitive metadata record must remain openly accessible. Legal compliance must be verified before any sharing action. Regulatory obligations must be institutionally configurable. Where P2 conflicts with P10 (Data Sovereignty) or applicable legal obligations, Section 5.3 applies.</w:t>
            </w:r>
          </w:p>
        </w:tc>
      </w:tr>
      <w:tr w:rsidR="00031725" w14:paraId="452725BD" w14:textId="77777777">
        <w:trPr>
          <w:trHeight w:val="2415"/>
        </w:trPr>
        <w:tc>
          <w:tcPr>
            <w:tcW w:w="87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3D" w14:textId="77777777" w:rsidR="00031725" w:rsidRDefault="00000000">
            <w:pPr>
              <w:spacing w:after="0"/>
              <w:jc w:val="center"/>
              <w:rPr>
                <w:b/>
                <w:bCs/>
                <w:sz w:val="18"/>
                <w:szCs w:val="18"/>
              </w:rPr>
            </w:pPr>
            <w:r>
              <w:rPr>
                <w:b/>
                <w:bCs/>
                <w:sz w:val="18"/>
                <w:szCs w:val="18"/>
              </w:rPr>
              <w:lastRenderedPageBreak/>
              <w:t>P3</w:t>
            </w:r>
          </w:p>
        </w:tc>
        <w:tc>
          <w:tcPr>
            <w:tcW w:w="165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3E" w14:textId="77777777" w:rsidR="00031725" w:rsidRDefault="00000000">
            <w:pPr>
              <w:spacing w:after="0"/>
              <w:rPr>
                <w:b/>
                <w:bCs/>
                <w:sz w:val="18"/>
                <w:szCs w:val="18"/>
              </w:rPr>
            </w:pPr>
            <w:r>
              <w:rPr>
                <w:b/>
                <w:bCs/>
                <w:sz w:val="18"/>
                <w:szCs w:val="18"/>
              </w:rPr>
              <w:t>Security by Design</w:t>
            </w:r>
          </w:p>
        </w:tc>
        <w:tc>
          <w:tcPr>
            <w:tcW w:w="325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3F" w14:textId="77777777" w:rsidR="00031725" w:rsidRDefault="00000000">
            <w:pPr>
              <w:spacing w:after="0"/>
              <w:rPr>
                <w:sz w:val="18"/>
                <w:szCs w:val="18"/>
              </w:rPr>
            </w:pPr>
            <w:r>
              <w:rPr>
                <w:sz w:val="18"/>
                <w:szCs w:val="18"/>
              </w:rPr>
              <w:t>Security must be built into every component of the Data Director from the outset, not added retrospectively. Sensitive data handling constraints must be embedded in the architecture. The secure path must always be the easiest path for the user; where security and ease of use conflict, security takes precedence.</w:t>
            </w:r>
          </w:p>
        </w:tc>
        <w:tc>
          <w:tcPr>
            <w:tcW w:w="324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40" w14:textId="77777777" w:rsidR="00031725" w:rsidRDefault="00000000">
            <w:pPr>
              <w:spacing w:after="0"/>
              <w:rPr>
                <w:sz w:val="18"/>
                <w:szCs w:val="18"/>
              </w:rPr>
            </w:pPr>
            <w:r>
              <w:rPr>
                <w:sz w:val="18"/>
                <w:szCs w:val="18"/>
              </w:rPr>
              <w:t>Default configurations must enforce encryption, role-based access, and audit logging. Provenance and infrastructure access are restricted by default. Restricted data must not be produced or accessible without explicit human-enabled access controls. Opt-out of security controls is not permitted. User roles must be explicitly defined before access controls are specified.</w:t>
            </w:r>
          </w:p>
        </w:tc>
      </w:tr>
      <w:tr w:rsidR="00031725" w14:paraId="09DFABF7" w14:textId="77777777">
        <w:trPr>
          <w:trHeight w:val="3030"/>
        </w:trPr>
        <w:tc>
          <w:tcPr>
            <w:tcW w:w="870" w:type="dxa"/>
            <w:tcBorders>
              <w:top w:val="single" w:sz="5" w:space="0" w:color="005B52"/>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241" w14:textId="77777777" w:rsidR="00031725" w:rsidRDefault="00000000">
            <w:pPr>
              <w:spacing w:after="0"/>
              <w:jc w:val="center"/>
              <w:rPr>
                <w:b/>
                <w:bCs/>
                <w:sz w:val="18"/>
                <w:szCs w:val="18"/>
              </w:rPr>
            </w:pPr>
            <w:r>
              <w:rPr>
                <w:b/>
                <w:bCs/>
                <w:sz w:val="18"/>
                <w:szCs w:val="18"/>
              </w:rPr>
              <w:t>P4</w:t>
            </w:r>
          </w:p>
        </w:tc>
        <w:tc>
          <w:tcPr>
            <w:tcW w:w="1650" w:type="dxa"/>
            <w:tcBorders>
              <w:top w:val="single" w:sz="5" w:space="0" w:color="005B52"/>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242" w14:textId="77777777" w:rsidR="00031725" w:rsidRDefault="00000000">
            <w:pPr>
              <w:spacing w:after="0"/>
              <w:rPr>
                <w:b/>
                <w:bCs/>
                <w:sz w:val="18"/>
                <w:szCs w:val="18"/>
              </w:rPr>
            </w:pPr>
            <w:r>
              <w:rPr>
                <w:b/>
                <w:bCs/>
                <w:sz w:val="18"/>
                <w:szCs w:val="18"/>
              </w:rPr>
              <w:t>Human in the Loop</w:t>
            </w:r>
          </w:p>
        </w:tc>
        <w:tc>
          <w:tcPr>
            <w:tcW w:w="3255" w:type="dxa"/>
            <w:tcBorders>
              <w:top w:val="single" w:sz="5" w:space="0" w:color="005B52"/>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243" w14:textId="77777777" w:rsidR="00031725" w:rsidRDefault="00000000">
            <w:pPr>
              <w:spacing w:after="0"/>
              <w:rPr>
                <w:sz w:val="18"/>
                <w:szCs w:val="18"/>
              </w:rPr>
            </w:pPr>
            <w:r>
              <w:rPr>
                <w:sz w:val="18"/>
                <w:szCs w:val="18"/>
              </w:rPr>
              <w:t>AI agents may draft and suggest, but no consequential action may proceed without explicit human approval. The Data Director may assist and recommend but must not decide, authorise, or take responsibility for consequential decisions. Human-in-the-loop (requiring explicit approval before an action proceeds) and human-on-the-loop (ongoing monitoring with override capability) are distinct modes of oversight that must be differentiated and documented per workflow.</w:t>
            </w:r>
          </w:p>
        </w:tc>
        <w:tc>
          <w:tcPr>
            <w:tcW w:w="3240" w:type="dxa"/>
            <w:tcBorders>
              <w:top w:val="single" w:sz="5" w:space="0" w:color="005B52"/>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244" w14:textId="77777777" w:rsidR="00031725" w:rsidRDefault="00000000">
            <w:pPr>
              <w:spacing w:after="0"/>
              <w:rPr>
                <w:sz w:val="18"/>
                <w:szCs w:val="18"/>
              </w:rPr>
            </w:pPr>
            <w:r>
              <w:rPr>
                <w:sz w:val="18"/>
                <w:szCs w:val="18"/>
              </w:rPr>
              <w:t>Human-review triggers must be defined for all consequential actions. Every irreversible action requires explicit human confirmation. Implementers must document whether human-in-the-loop or human-on-the-loop applies to each workflow. The tool must never operate as an autonomous authority over governance or responsibility.</w:t>
            </w:r>
          </w:p>
        </w:tc>
      </w:tr>
      <w:tr w:rsidR="00031725" w14:paraId="53448B45" w14:textId="77777777">
        <w:trPr>
          <w:trHeight w:val="2820"/>
        </w:trPr>
        <w:tc>
          <w:tcPr>
            <w:tcW w:w="87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45" w14:textId="77777777" w:rsidR="00031725" w:rsidRDefault="00000000">
            <w:pPr>
              <w:spacing w:after="0"/>
              <w:jc w:val="center"/>
              <w:rPr>
                <w:b/>
                <w:bCs/>
                <w:sz w:val="18"/>
                <w:szCs w:val="18"/>
              </w:rPr>
            </w:pPr>
            <w:r>
              <w:rPr>
                <w:b/>
                <w:bCs/>
                <w:sz w:val="18"/>
                <w:szCs w:val="18"/>
              </w:rPr>
              <w:t>P5</w:t>
            </w:r>
          </w:p>
        </w:tc>
        <w:tc>
          <w:tcPr>
            <w:tcW w:w="165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46" w14:textId="77777777" w:rsidR="00031725" w:rsidRDefault="00000000">
            <w:pPr>
              <w:spacing w:after="0"/>
              <w:rPr>
                <w:b/>
                <w:bCs/>
                <w:sz w:val="18"/>
                <w:szCs w:val="18"/>
              </w:rPr>
            </w:pPr>
            <w:r>
              <w:rPr>
                <w:b/>
                <w:bCs/>
                <w:sz w:val="18"/>
                <w:szCs w:val="18"/>
              </w:rPr>
              <w:t>Full Traceability</w:t>
            </w:r>
          </w:p>
        </w:tc>
        <w:tc>
          <w:tcPr>
            <w:tcW w:w="325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47" w14:textId="77777777" w:rsidR="00031725" w:rsidRDefault="00000000">
            <w:pPr>
              <w:spacing w:after="0"/>
              <w:rPr>
                <w:sz w:val="18"/>
                <w:szCs w:val="18"/>
              </w:rPr>
            </w:pPr>
            <w:r>
              <w:rPr>
                <w:sz w:val="18"/>
                <w:szCs w:val="18"/>
              </w:rPr>
              <w:t>Every action taken by an agent and every artefact produced must be traceable to its inputs, agent version, scripts, paths, and human authorisations. Provenance must be recorded as a directed graph, enabling full traceability across processes including large language model prompts, with export and import functionality.</w:t>
            </w:r>
          </w:p>
        </w:tc>
        <w:tc>
          <w:tcPr>
            <w:tcW w:w="324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48" w14:textId="77777777" w:rsidR="00031725" w:rsidRDefault="00000000">
            <w:pPr>
              <w:spacing w:after="0"/>
              <w:rPr>
                <w:sz w:val="18"/>
                <w:szCs w:val="18"/>
              </w:rPr>
            </w:pPr>
            <w:r>
              <w:rPr>
                <w:sz w:val="18"/>
                <w:szCs w:val="18"/>
              </w:rPr>
              <w:t xml:space="preserve">Provenance must be recorded using a recognised community standard such as PROV-O (see Section 5.4). Digital fingerprints and signatures must be assigned to all resources and actions. Where human roles are recorded, a recognised taxonomy such as </w:t>
            </w:r>
            <w:hyperlink r:id="rId25">
              <w:r w:rsidR="00031725">
                <w:rPr>
                  <w:color w:val="1155CC"/>
                  <w:sz w:val="18"/>
                  <w:szCs w:val="18"/>
                  <w:u w:val="single"/>
                </w:rPr>
                <w:t>CRediT</w:t>
              </w:r>
            </w:hyperlink>
            <w:r>
              <w:rPr>
                <w:sz w:val="18"/>
                <w:szCs w:val="18"/>
                <w:vertAlign w:val="superscript"/>
              </w:rPr>
              <w:footnoteReference w:id="16"/>
            </w:r>
            <w:r>
              <w:rPr>
                <w:sz w:val="18"/>
                <w:szCs w:val="18"/>
              </w:rPr>
              <w:t xml:space="preserve"> must be used. Human identifiers must use persistent identifiers (PIDs) such as ORCID. Provenance access is restricted by default. Dataset versions must be individually traceable. Records must support compliance evidence on demand.</w:t>
            </w:r>
          </w:p>
        </w:tc>
      </w:tr>
      <w:tr w:rsidR="00031725" w14:paraId="079FC63D" w14:textId="77777777">
        <w:trPr>
          <w:trHeight w:val="2820"/>
        </w:trPr>
        <w:tc>
          <w:tcPr>
            <w:tcW w:w="870" w:type="dxa"/>
            <w:tcBorders>
              <w:top w:val="single" w:sz="5" w:space="0" w:color="005B52"/>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249" w14:textId="77777777" w:rsidR="00031725" w:rsidRDefault="00000000">
            <w:pPr>
              <w:spacing w:after="0"/>
              <w:jc w:val="center"/>
              <w:rPr>
                <w:b/>
                <w:bCs/>
                <w:sz w:val="18"/>
                <w:szCs w:val="18"/>
              </w:rPr>
            </w:pPr>
            <w:r>
              <w:rPr>
                <w:b/>
                <w:bCs/>
                <w:sz w:val="18"/>
                <w:szCs w:val="18"/>
              </w:rPr>
              <w:lastRenderedPageBreak/>
              <w:t>P6</w:t>
            </w:r>
          </w:p>
        </w:tc>
        <w:tc>
          <w:tcPr>
            <w:tcW w:w="1650" w:type="dxa"/>
            <w:tcBorders>
              <w:top w:val="single" w:sz="5" w:space="0" w:color="005B52"/>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24A" w14:textId="77777777" w:rsidR="00031725" w:rsidRDefault="00000000">
            <w:pPr>
              <w:spacing w:after="0"/>
              <w:rPr>
                <w:b/>
                <w:bCs/>
                <w:sz w:val="18"/>
                <w:szCs w:val="18"/>
              </w:rPr>
            </w:pPr>
            <w:r>
              <w:rPr>
                <w:b/>
                <w:bCs/>
                <w:sz w:val="18"/>
                <w:szCs w:val="18"/>
              </w:rPr>
              <w:t>Open Standards</w:t>
            </w:r>
          </w:p>
        </w:tc>
        <w:tc>
          <w:tcPr>
            <w:tcW w:w="3255" w:type="dxa"/>
            <w:tcBorders>
              <w:top w:val="single" w:sz="5" w:space="0" w:color="005B52"/>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24B" w14:textId="77777777" w:rsidR="00031725" w:rsidRDefault="00000000">
            <w:pPr>
              <w:spacing w:after="0"/>
              <w:rPr>
                <w:sz w:val="18"/>
                <w:szCs w:val="18"/>
              </w:rPr>
            </w:pPr>
            <w:r>
              <w:rPr>
                <w:sz w:val="18"/>
                <w:szCs w:val="18"/>
              </w:rPr>
              <w:t>The system must consume and produce metadata using open, community-maintained standards and specifications rather than bespoke formats, to facilitate interoperability and reusability across systems, disciplines, and scientific domains. It must align with RDA Recommendations and Outputs.</w:t>
            </w:r>
          </w:p>
        </w:tc>
        <w:tc>
          <w:tcPr>
            <w:tcW w:w="3240" w:type="dxa"/>
            <w:tcBorders>
              <w:top w:val="single" w:sz="5" w:space="0" w:color="005B52"/>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24C" w14:textId="77777777" w:rsidR="00031725" w:rsidRDefault="00000000">
            <w:pPr>
              <w:spacing w:after="0"/>
              <w:rPr>
                <w:sz w:val="18"/>
                <w:szCs w:val="18"/>
              </w:rPr>
            </w:pPr>
            <w:r>
              <w:rPr>
                <w:sz w:val="18"/>
                <w:szCs w:val="18"/>
              </w:rPr>
              <w:t>New schema requirements must be sought in existing open standards. Agents must distinguish between general-purpose and community-specific standards when making recommendations. Crosswalks and semantic mappings between standards must be documented to enable cross-domain data transition. Agents should recommend domain-appropriate standards drawing on community resources such as GO FAIR.</w:t>
            </w:r>
          </w:p>
        </w:tc>
      </w:tr>
      <w:tr w:rsidR="00031725" w14:paraId="1784C26B" w14:textId="77777777">
        <w:trPr>
          <w:trHeight w:val="2415"/>
        </w:trPr>
        <w:tc>
          <w:tcPr>
            <w:tcW w:w="87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4D" w14:textId="77777777" w:rsidR="00031725" w:rsidRDefault="00000000">
            <w:pPr>
              <w:spacing w:after="0"/>
              <w:jc w:val="center"/>
              <w:rPr>
                <w:b/>
                <w:bCs/>
                <w:sz w:val="18"/>
                <w:szCs w:val="18"/>
              </w:rPr>
            </w:pPr>
            <w:r>
              <w:rPr>
                <w:b/>
                <w:bCs/>
                <w:sz w:val="18"/>
                <w:szCs w:val="18"/>
              </w:rPr>
              <w:t>P7</w:t>
            </w:r>
          </w:p>
        </w:tc>
        <w:tc>
          <w:tcPr>
            <w:tcW w:w="165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4E" w14:textId="77777777" w:rsidR="00031725" w:rsidRDefault="00000000">
            <w:pPr>
              <w:spacing w:after="0"/>
              <w:rPr>
                <w:b/>
                <w:bCs/>
                <w:sz w:val="18"/>
                <w:szCs w:val="18"/>
              </w:rPr>
            </w:pPr>
            <w:r>
              <w:rPr>
                <w:b/>
                <w:bCs/>
                <w:sz w:val="18"/>
                <w:szCs w:val="18"/>
              </w:rPr>
              <w:t>Open Source</w:t>
            </w:r>
          </w:p>
        </w:tc>
        <w:tc>
          <w:tcPr>
            <w:tcW w:w="325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4F" w14:textId="3E7580D1" w:rsidR="00031725" w:rsidRDefault="00000000">
            <w:pPr>
              <w:spacing w:after="0"/>
              <w:rPr>
                <w:sz w:val="18"/>
                <w:szCs w:val="18"/>
              </w:rPr>
            </w:pPr>
            <w:r>
              <w:rPr>
                <w:sz w:val="18"/>
                <w:szCs w:val="18"/>
              </w:rPr>
              <w:t>Implementations of the Data Director should be developed and distributed as open</w:t>
            </w:r>
            <w:r w:rsidR="003024B5">
              <w:rPr>
                <w:sz w:val="18"/>
                <w:szCs w:val="18"/>
              </w:rPr>
              <w:t>-</w:t>
            </w:r>
            <w:r>
              <w:rPr>
                <w:sz w:val="18"/>
                <w:szCs w:val="18"/>
              </w:rPr>
              <w:t>source software under a permissive licence such as MIT or Apache 2.0. Open source is strongly preferred because it enables community contribution, independent audit of AI behaviour, and global reuse without access barriers.</w:t>
            </w:r>
          </w:p>
        </w:tc>
        <w:tc>
          <w:tcPr>
            <w:tcW w:w="324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50" w14:textId="38775217" w:rsidR="00031725" w:rsidRDefault="00000000">
            <w:pPr>
              <w:spacing w:after="0"/>
              <w:rPr>
                <w:sz w:val="18"/>
                <w:szCs w:val="18"/>
              </w:rPr>
            </w:pPr>
            <w:r>
              <w:rPr>
                <w:sz w:val="18"/>
                <w:szCs w:val="18"/>
              </w:rPr>
              <w:t>Source code must be published in a publicly accessible repository following recognised coding standards. Contributions must be accountable. Dependencies should favour open</w:t>
            </w:r>
            <w:r w:rsidR="003024B5">
              <w:rPr>
                <w:sz w:val="18"/>
                <w:szCs w:val="18"/>
              </w:rPr>
              <w:t>-</w:t>
            </w:r>
            <w:r>
              <w:rPr>
                <w:sz w:val="18"/>
                <w:szCs w:val="18"/>
              </w:rPr>
              <w:t xml:space="preserve">source components. Proprietary components must be explicitly justified, documented, and must not create lock-in. The </w:t>
            </w:r>
            <w:r w:rsidR="003024B5">
              <w:rPr>
                <w:sz w:val="18"/>
                <w:szCs w:val="18"/>
              </w:rPr>
              <w:t>open-source</w:t>
            </w:r>
            <w:r>
              <w:rPr>
                <w:sz w:val="18"/>
                <w:szCs w:val="18"/>
              </w:rPr>
              <w:t xml:space="preserve"> preference reflects P6 (Open Standards) and the Blueprint's technology-agnostic framing: openness is the </w:t>
            </w:r>
            <w:r w:rsidR="003024B5">
              <w:rPr>
                <w:sz w:val="18"/>
                <w:szCs w:val="18"/>
              </w:rPr>
              <w:t>default;</w:t>
            </w:r>
            <w:r>
              <w:rPr>
                <w:sz w:val="18"/>
                <w:szCs w:val="18"/>
              </w:rPr>
              <w:t xml:space="preserve"> this preference does not prohibit proprietary implementations. </w:t>
            </w:r>
          </w:p>
        </w:tc>
      </w:tr>
      <w:tr w:rsidR="00031725" w14:paraId="5B233572" w14:textId="77777777">
        <w:trPr>
          <w:trHeight w:val="2205"/>
        </w:trPr>
        <w:tc>
          <w:tcPr>
            <w:tcW w:w="870" w:type="dxa"/>
            <w:tcBorders>
              <w:top w:val="single" w:sz="5" w:space="0" w:color="005B52"/>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251" w14:textId="77777777" w:rsidR="00031725" w:rsidRDefault="00000000">
            <w:pPr>
              <w:spacing w:after="0"/>
              <w:jc w:val="center"/>
              <w:rPr>
                <w:b/>
                <w:bCs/>
                <w:sz w:val="18"/>
                <w:szCs w:val="18"/>
              </w:rPr>
            </w:pPr>
            <w:r>
              <w:rPr>
                <w:b/>
                <w:bCs/>
                <w:sz w:val="18"/>
                <w:szCs w:val="18"/>
              </w:rPr>
              <w:t>P8</w:t>
            </w:r>
          </w:p>
        </w:tc>
        <w:tc>
          <w:tcPr>
            <w:tcW w:w="1650" w:type="dxa"/>
            <w:tcBorders>
              <w:top w:val="single" w:sz="5" w:space="0" w:color="005B52"/>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252" w14:textId="77777777" w:rsidR="00031725" w:rsidRDefault="00000000">
            <w:pPr>
              <w:spacing w:after="0"/>
              <w:rPr>
                <w:b/>
                <w:bCs/>
                <w:sz w:val="18"/>
                <w:szCs w:val="18"/>
              </w:rPr>
            </w:pPr>
            <w:r>
              <w:rPr>
                <w:b/>
                <w:bCs/>
                <w:sz w:val="18"/>
                <w:szCs w:val="18"/>
              </w:rPr>
              <w:t>Explainable AI</w:t>
            </w:r>
          </w:p>
        </w:tc>
        <w:tc>
          <w:tcPr>
            <w:tcW w:w="3255" w:type="dxa"/>
            <w:tcBorders>
              <w:top w:val="single" w:sz="5" w:space="0" w:color="005B52"/>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253" w14:textId="77777777" w:rsidR="00031725" w:rsidRDefault="00000000">
            <w:pPr>
              <w:spacing w:after="0"/>
              <w:rPr>
                <w:sz w:val="18"/>
                <w:szCs w:val="18"/>
              </w:rPr>
            </w:pPr>
            <w:r>
              <w:rPr>
                <w:sz w:val="18"/>
                <w:szCs w:val="18"/>
              </w:rPr>
              <w:t>All AI-generated recommendations, metadata records, and decisions must be accompanied by a human-readable explanation of how the output was reached. Explanations must be accessible to non-technical users. All prompts used in agentic AI and sources for metadata schemas must be transparent and publicly available.</w:t>
            </w:r>
          </w:p>
        </w:tc>
        <w:tc>
          <w:tcPr>
            <w:tcW w:w="3240" w:type="dxa"/>
            <w:tcBorders>
              <w:top w:val="single" w:sz="5" w:space="0" w:color="005B52"/>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254" w14:textId="77777777" w:rsidR="00031725" w:rsidRDefault="00000000">
            <w:pPr>
              <w:spacing w:after="0"/>
              <w:rPr>
                <w:sz w:val="18"/>
                <w:szCs w:val="18"/>
              </w:rPr>
            </w:pPr>
            <w:r>
              <w:rPr>
                <w:sz w:val="18"/>
                <w:szCs w:val="18"/>
              </w:rPr>
              <w:t>Every AI action must surface a contextualised summary with links back to sources, including a visible chain-of-thought reasoning window. Explanations must be exportable for review. Agents must provide feedback on what can be improved or is missing for the targeted repository. Black-box outputs are not acceptable.</w:t>
            </w:r>
          </w:p>
        </w:tc>
      </w:tr>
      <w:tr w:rsidR="00031725" w14:paraId="70C6478E" w14:textId="77777777">
        <w:trPr>
          <w:trHeight w:val="2820"/>
        </w:trPr>
        <w:tc>
          <w:tcPr>
            <w:tcW w:w="87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55" w14:textId="77777777" w:rsidR="00031725" w:rsidRDefault="00000000">
            <w:pPr>
              <w:spacing w:after="0"/>
              <w:jc w:val="center"/>
              <w:rPr>
                <w:b/>
                <w:bCs/>
                <w:sz w:val="18"/>
                <w:szCs w:val="18"/>
              </w:rPr>
            </w:pPr>
            <w:r>
              <w:rPr>
                <w:b/>
                <w:bCs/>
                <w:sz w:val="18"/>
                <w:szCs w:val="18"/>
              </w:rPr>
              <w:t>P9</w:t>
            </w:r>
          </w:p>
        </w:tc>
        <w:tc>
          <w:tcPr>
            <w:tcW w:w="165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56" w14:textId="77777777" w:rsidR="00031725" w:rsidRDefault="00000000">
            <w:pPr>
              <w:spacing w:after="0"/>
              <w:rPr>
                <w:b/>
                <w:bCs/>
                <w:sz w:val="18"/>
                <w:szCs w:val="18"/>
              </w:rPr>
            </w:pPr>
            <w:r>
              <w:rPr>
                <w:b/>
                <w:bCs/>
                <w:sz w:val="18"/>
                <w:szCs w:val="18"/>
              </w:rPr>
              <w:t>Locally Adaptable</w:t>
            </w:r>
          </w:p>
        </w:tc>
        <w:tc>
          <w:tcPr>
            <w:tcW w:w="325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57" w14:textId="77777777" w:rsidR="00031725" w:rsidRDefault="00000000">
            <w:pPr>
              <w:spacing w:after="0"/>
              <w:rPr>
                <w:sz w:val="18"/>
                <w:szCs w:val="18"/>
              </w:rPr>
            </w:pPr>
            <w:r>
              <w:rPr>
                <w:sz w:val="18"/>
                <w:szCs w:val="18"/>
              </w:rPr>
              <w:t>The Data Director must support meaningful configuration at the institutional level to reflect local policies, funder and journal requirements, and disciplinary practices, including approved repositories and PID systems, without requiring changes to the core specification.</w:t>
            </w:r>
          </w:p>
        </w:tc>
        <w:tc>
          <w:tcPr>
            <w:tcW w:w="324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58" w14:textId="77777777" w:rsidR="00031725" w:rsidRDefault="00000000">
            <w:pPr>
              <w:spacing w:after="0"/>
              <w:rPr>
                <w:sz w:val="18"/>
                <w:szCs w:val="18"/>
              </w:rPr>
            </w:pPr>
            <w:r>
              <w:rPr>
                <w:sz w:val="18"/>
                <w:szCs w:val="18"/>
              </w:rPr>
              <w:t>Configuration points must be exposed for metadata schemas, repository preferences, access controls, protection levels, retention, storage backend, draft and publish workflows, review access, and integration with existing tooling. Core and configurable components must be architecturally separated. Policy inconsistencies must be surfaced explicitly. Core FAIR and security requirements cannot be overridden.</w:t>
            </w:r>
          </w:p>
        </w:tc>
      </w:tr>
      <w:tr w:rsidR="00031725" w14:paraId="01B3F712" w14:textId="77777777">
        <w:trPr>
          <w:trHeight w:val="2085"/>
        </w:trPr>
        <w:tc>
          <w:tcPr>
            <w:tcW w:w="870" w:type="dxa"/>
            <w:tcBorders>
              <w:top w:val="single" w:sz="5" w:space="0" w:color="005B52"/>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259" w14:textId="77777777" w:rsidR="00031725" w:rsidRDefault="00000000">
            <w:pPr>
              <w:spacing w:after="0"/>
              <w:jc w:val="center"/>
              <w:rPr>
                <w:b/>
                <w:bCs/>
                <w:sz w:val="18"/>
                <w:szCs w:val="18"/>
              </w:rPr>
            </w:pPr>
            <w:r>
              <w:rPr>
                <w:b/>
                <w:bCs/>
                <w:sz w:val="18"/>
                <w:szCs w:val="18"/>
              </w:rPr>
              <w:lastRenderedPageBreak/>
              <w:t>P10</w:t>
            </w:r>
          </w:p>
        </w:tc>
        <w:tc>
          <w:tcPr>
            <w:tcW w:w="1650" w:type="dxa"/>
            <w:tcBorders>
              <w:top w:val="single" w:sz="5" w:space="0" w:color="005B52"/>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25A" w14:textId="77777777" w:rsidR="00031725" w:rsidRDefault="00000000">
            <w:pPr>
              <w:spacing w:after="0"/>
              <w:rPr>
                <w:b/>
                <w:bCs/>
                <w:sz w:val="18"/>
                <w:szCs w:val="18"/>
              </w:rPr>
            </w:pPr>
            <w:r>
              <w:rPr>
                <w:b/>
                <w:bCs/>
                <w:sz w:val="18"/>
                <w:szCs w:val="18"/>
              </w:rPr>
              <w:t>Data Sovereignty</w:t>
            </w:r>
          </w:p>
        </w:tc>
        <w:tc>
          <w:tcPr>
            <w:tcW w:w="3255" w:type="dxa"/>
            <w:tcBorders>
              <w:top w:val="single" w:sz="5" w:space="0" w:color="005B52"/>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25B" w14:textId="77777777" w:rsidR="00031725" w:rsidRDefault="00000000">
            <w:pPr>
              <w:spacing w:after="0" w:line="240" w:lineRule="auto"/>
              <w:rPr>
                <w:sz w:val="18"/>
                <w:szCs w:val="18"/>
              </w:rPr>
            </w:pPr>
            <w:r>
              <w:rPr>
                <w:sz w:val="18"/>
                <w:szCs w:val="18"/>
              </w:rPr>
              <w:t>The Data Director must respect national sovereignty and data residency requirements, ensuring that data remains within required jurisdictional boundaries. This applies particularly to nationally funded research and sensitive data contexts. Sovereignty requirements extend beyond the primary dataset to include AI processing, prompts, logs, temporary files, backups, embeddings, telemetry, and any derived artefacts generated throughout the workflow.</w:t>
            </w:r>
          </w:p>
        </w:tc>
        <w:tc>
          <w:tcPr>
            <w:tcW w:w="3240" w:type="dxa"/>
            <w:tcBorders>
              <w:top w:val="single" w:sz="5" w:space="0" w:color="005B52"/>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25C" w14:textId="77777777" w:rsidR="00031725" w:rsidRDefault="00000000">
            <w:pPr>
              <w:spacing w:after="0"/>
              <w:rPr>
                <w:sz w:val="18"/>
                <w:szCs w:val="18"/>
              </w:rPr>
            </w:pPr>
            <w:r>
              <w:rPr>
                <w:sz w:val="18"/>
                <w:szCs w:val="18"/>
              </w:rPr>
              <w:t>Implementations must support local and edge deployment to meet data residency mandates without dependence on foreign cloud infrastructure. Compliance with national sovereignty requirements must be configurable at the institutional level and documented.</w:t>
            </w:r>
          </w:p>
        </w:tc>
      </w:tr>
      <w:tr w:rsidR="00031725" w14:paraId="701A10FA" w14:textId="77777777">
        <w:trPr>
          <w:trHeight w:val="2415"/>
        </w:trPr>
        <w:tc>
          <w:tcPr>
            <w:tcW w:w="87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5D" w14:textId="77777777" w:rsidR="00031725" w:rsidRDefault="00000000">
            <w:pPr>
              <w:spacing w:after="0"/>
              <w:jc w:val="center"/>
              <w:rPr>
                <w:b/>
                <w:bCs/>
                <w:sz w:val="18"/>
                <w:szCs w:val="18"/>
              </w:rPr>
            </w:pPr>
            <w:r>
              <w:rPr>
                <w:b/>
                <w:bCs/>
                <w:sz w:val="18"/>
                <w:szCs w:val="18"/>
              </w:rPr>
              <w:t>P11</w:t>
            </w:r>
          </w:p>
        </w:tc>
        <w:tc>
          <w:tcPr>
            <w:tcW w:w="165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5E" w14:textId="77777777" w:rsidR="00031725" w:rsidRDefault="00000000">
            <w:pPr>
              <w:spacing w:after="0"/>
              <w:rPr>
                <w:b/>
                <w:bCs/>
                <w:sz w:val="18"/>
                <w:szCs w:val="18"/>
              </w:rPr>
            </w:pPr>
            <w:r>
              <w:rPr>
                <w:b/>
                <w:bCs/>
                <w:sz w:val="18"/>
                <w:szCs w:val="18"/>
              </w:rPr>
              <w:t>Deploy Anywhere</w:t>
            </w:r>
          </w:p>
        </w:tc>
        <w:tc>
          <w:tcPr>
            <w:tcW w:w="325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5F" w14:textId="77777777" w:rsidR="00031725" w:rsidRDefault="00000000">
            <w:pPr>
              <w:spacing w:after="0"/>
              <w:rPr>
                <w:sz w:val="18"/>
                <w:szCs w:val="18"/>
              </w:rPr>
            </w:pPr>
            <w:r>
              <w:rPr>
                <w:sz w:val="18"/>
                <w:szCs w:val="18"/>
              </w:rPr>
              <w:t>The Data Director must be deployable across edge, local, and cloud environments, ensuring researchers can access and use the system regardless of their available infrastructure, technical resources, or institutional support. This principle is in direct tension with P10 (Data Sovereignty) in contexts where cloud deployment may be available but is jurisdictionally prohibited; Section 5.3 requires implementers to document how this tension has been resolved.</w:t>
            </w:r>
          </w:p>
        </w:tc>
        <w:tc>
          <w:tcPr>
            <w:tcW w:w="324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60" w14:textId="77777777" w:rsidR="00031725" w:rsidRDefault="00000000">
            <w:pPr>
              <w:spacing w:after="0"/>
              <w:rPr>
                <w:sz w:val="18"/>
                <w:szCs w:val="18"/>
              </w:rPr>
            </w:pPr>
            <w:r>
              <w:rPr>
                <w:sz w:val="18"/>
                <w:szCs w:val="18"/>
              </w:rPr>
              <w:t>Implementations must not require cloud infrastructure as a prerequisite. A minimum viable deployment must be defined and documented for resource-constrained environments. No single deployment environment should be privileged in the core architecture.</w:t>
            </w:r>
          </w:p>
        </w:tc>
      </w:tr>
      <w:tr w:rsidR="00031725" w14:paraId="330A43CE" w14:textId="77777777">
        <w:trPr>
          <w:trHeight w:val="2415"/>
        </w:trPr>
        <w:tc>
          <w:tcPr>
            <w:tcW w:w="870" w:type="dxa"/>
            <w:tcBorders>
              <w:top w:val="single" w:sz="5" w:space="0" w:color="005B52"/>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261" w14:textId="77777777" w:rsidR="00031725" w:rsidRDefault="00000000">
            <w:pPr>
              <w:spacing w:after="0"/>
              <w:jc w:val="center"/>
              <w:rPr>
                <w:b/>
                <w:bCs/>
                <w:sz w:val="18"/>
                <w:szCs w:val="18"/>
              </w:rPr>
            </w:pPr>
            <w:r>
              <w:rPr>
                <w:b/>
                <w:bCs/>
                <w:sz w:val="18"/>
                <w:szCs w:val="18"/>
              </w:rPr>
              <w:t>P12</w:t>
            </w:r>
          </w:p>
        </w:tc>
        <w:tc>
          <w:tcPr>
            <w:tcW w:w="1650" w:type="dxa"/>
            <w:tcBorders>
              <w:top w:val="single" w:sz="5" w:space="0" w:color="005B52"/>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262" w14:textId="77777777" w:rsidR="00031725" w:rsidRDefault="00000000">
            <w:pPr>
              <w:spacing w:after="0"/>
              <w:rPr>
                <w:b/>
                <w:bCs/>
                <w:sz w:val="18"/>
                <w:szCs w:val="18"/>
              </w:rPr>
            </w:pPr>
            <w:r>
              <w:rPr>
                <w:b/>
                <w:bCs/>
                <w:sz w:val="18"/>
                <w:szCs w:val="18"/>
              </w:rPr>
              <w:t>Inclusive Access</w:t>
            </w:r>
          </w:p>
        </w:tc>
        <w:tc>
          <w:tcPr>
            <w:tcW w:w="3255" w:type="dxa"/>
            <w:tcBorders>
              <w:top w:val="single" w:sz="5" w:space="0" w:color="005B52"/>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263" w14:textId="77777777" w:rsidR="00031725" w:rsidRDefault="00000000">
            <w:pPr>
              <w:spacing w:after="0"/>
              <w:rPr>
                <w:sz w:val="18"/>
                <w:szCs w:val="18"/>
              </w:rPr>
            </w:pPr>
            <w:r>
              <w:rPr>
                <w:sz w:val="18"/>
                <w:szCs w:val="18"/>
              </w:rPr>
              <w:t>The Data Director must be designed to include rather than exclude, across data sources, communities, users, and digital access needs. FAIR principles must be informed by CARE principles from the outset, ensuring that Indigenous and community voices shape how their data is represented and acted upon.</w:t>
            </w:r>
          </w:p>
        </w:tc>
        <w:tc>
          <w:tcPr>
            <w:tcW w:w="3240" w:type="dxa"/>
            <w:tcBorders>
              <w:top w:val="single" w:sz="5" w:space="0" w:color="005B52"/>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264" w14:textId="77777777" w:rsidR="00031725" w:rsidRDefault="00000000">
            <w:pPr>
              <w:spacing w:after="0"/>
              <w:rPr>
                <w:sz w:val="18"/>
                <w:szCs w:val="18"/>
              </w:rPr>
            </w:pPr>
            <w:r>
              <w:rPr>
                <w:sz w:val="18"/>
                <w:szCs w:val="18"/>
              </w:rPr>
              <w:t>Implementations must assess data source readiness to identify exclusion risks. Digital accessibility standards must be met across all interfaces. Indigenous and community stakeholders must be included in governance and design. Autonomous agent data source selection must be governed to prevent unintended exclusion of relevant datasets or communities.</w:t>
            </w:r>
          </w:p>
        </w:tc>
      </w:tr>
      <w:tr w:rsidR="00031725" w14:paraId="2BD7FF58" w14:textId="77777777" w:rsidTr="00555B08">
        <w:trPr>
          <w:trHeight w:val="425"/>
        </w:trPr>
        <w:tc>
          <w:tcPr>
            <w:tcW w:w="87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65" w14:textId="77777777" w:rsidR="00031725" w:rsidRDefault="00000000">
            <w:pPr>
              <w:spacing w:after="0"/>
              <w:jc w:val="center"/>
              <w:rPr>
                <w:b/>
                <w:bCs/>
                <w:sz w:val="18"/>
                <w:szCs w:val="18"/>
              </w:rPr>
            </w:pPr>
            <w:r>
              <w:rPr>
                <w:b/>
                <w:bCs/>
                <w:sz w:val="18"/>
                <w:szCs w:val="18"/>
              </w:rPr>
              <w:t>P13</w:t>
            </w:r>
          </w:p>
        </w:tc>
        <w:tc>
          <w:tcPr>
            <w:tcW w:w="165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66" w14:textId="77777777" w:rsidR="00031725" w:rsidRDefault="00000000">
            <w:pPr>
              <w:spacing w:after="0"/>
              <w:rPr>
                <w:b/>
                <w:bCs/>
                <w:sz w:val="18"/>
                <w:szCs w:val="18"/>
              </w:rPr>
            </w:pPr>
            <w:r>
              <w:rPr>
                <w:b/>
                <w:bCs/>
                <w:sz w:val="18"/>
                <w:szCs w:val="18"/>
              </w:rPr>
              <w:t>Built to Last</w:t>
            </w:r>
          </w:p>
        </w:tc>
        <w:tc>
          <w:tcPr>
            <w:tcW w:w="325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67" w14:textId="77777777" w:rsidR="00031725" w:rsidRDefault="00000000">
            <w:pPr>
              <w:spacing w:after="0"/>
              <w:rPr>
                <w:sz w:val="18"/>
                <w:szCs w:val="18"/>
              </w:rPr>
            </w:pPr>
            <w:r>
              <w:rPr>
                <w:sz w:val="18"/>
                <w:szCs w:val="18"/>
              </w:rPr>
              <w:t xml:space="preserve">The Data Director must be built on actively maintained, community-supported tools and architectures that do not create unsustainable operational burdens. External services, repositories, PID services, and vocabulary services represent risks outside the Data Director's control. When external dependencies are temporarily unavailable, the system must continue to function for unaffected workflow steps, alert the user clearly, and allow work to be </w:t>
            </w:r>
            <w:r>
              <w:rPr>
                <w:sz w:val="18"/>
                <w:szCs w:val="18"/>
              </w:rPr>
              <w:lastRenderedPageBreak/>
              <w:t>saved and resumed without data loss.</w:t>
            </w:r>
          </w:p>
        </w:tc>
        <w:tc>
          <w:tcPr>
            <w:tcW w:w="324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68" w14:textId="77777777" w:rsidR="00031725" w:rsidRDefault="00000000">
            <w:pPr>
              <w:spacing w:after="0"/>
              <w:rPr>
                <w:sz w:val="18"/>
                <w:szCs w:val="18"/>
              </w:rPr>
            </w:pPr>
            <w:r>
              <w:rPr>
                <w:sz w:val="18"/>
                <w:szCs w:val="18"/>
              </w:rPr>
              <w:lastRenderedPageBreak/>
              <w:t>Dependencies must be evaluated for long-term viability before adoption. No single vendor or platform should be a single point of failure. Deprecated components must have documented migration paths. Workflows must queue or pause rather than fail silently when external services are unavailable.</w:t>
            </w:r>
          </w:p>
        </w:tc>
      </w:tr>
      <w:tr w:rsidR="00031725" w14:paraId="186B8DB7" w14:textId="77777777">
        <w:trPr>
          <w:trHeight w:val="1800"/>
        </w:trPr>
        <w:tc>
          <w:tcPr>
            <w:tcW w:w="870" w:type="dxa"/>
            <w:tcBorders>
              <w:top w:val="single" w:sz="5" w:space="0" w:color="005B52"/>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269" w14:textId="77777777" w:rsidR="00031725" w:rsidRDefault="00000000">
            <w:pPr>
              <w:spacing w:after="0"/>
              <w:jc w:val="center"/>
              <w:rPr>
                <w:b/>
                <w:bCs/>
                <w:sz w:val="18"/>
                <w:szCs w:val="18"/>
              </w:rPr>
            </w:pPr>
            <w:r>
              <w:rPr>
                <w:b/>
                <w:bCs/>
                <w:sz w:val="18"/>
                <w:szCs w:val="18"/>
              </w:rPr>
              <w:t>P14</w:t>
            </w:r>
          </w:p>
        </w:tc>
        <w:tc>
          <w:tcPr>
            <w:tcW w:w="1650" w:type="dxa"/>
            <w:tcBorders>
              <w:top w:val="single" w:sz="5" w:space="0" w:color="005B52"/>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26A" w14:textId="77777777" w:rsidR="00031725" w:rsidRDefault="00000000">
            <w:pPr>
              <w:spacing w:after="0"/>
              <w:rPr>
                <w:b/>
                <w:bCs/>
                <w:sz w:val="18"/>
                <w:szCs w:val="18"/>
              </w:rPr>
            </w:pPr>
            <w:r>
              <w:rPr>
                <w:b/>
                <w:bCs/>
                <w:sz w:val="18"/>
                <w:szCs w:val="18"/>
              </w:rPr>
              <w:t>Low Impact</w:t>
            </w:r>
          </w:p>
        </w:tc>
        <w:tc>
          <w:tcPr>
            <w:tcW w:w="3255" w:type="dxa"/>
            <w:tcBorders>
              <w:top w:val="single" w:sz="5" w:space="0" w:color="005B52"/>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26B" w14:textId="77777777" w:rsidR="00031725" w:rsidRDefault="00000000">
            <w:pPr>
              <w:spacing w:after="0"/>
              <w:rPr>
                <w:sz w:val="18"/>
                <w:szCs w:val="18"/>
              </w:rPr>
            </w:pPr>
            <w:r>
              <w:rPr>
                <w:sz w:val="18"/>
                <w:szCs w:val="18"/>
              </w:rPr>
              <w:t>The Data Director must minimise its environmental footprint. Edge data centres near end-users are the preferred default for compute tasks over centralised cloud infrastructure. The Data Director must not place unsustainable demands on community repository infrastructure.</w:t>
            </w:r>
          </w:p>
        </w:tc>
        <w:tc>
          <w:tcPr>
            <w:tcW w:w="3240" w:type="dxa"/>
            <w:tcBorders>
              <w:top w:val="single" w:sz="5" w:space="0" w:color="005B52"/>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26C" w14:textId="77777777" w:rsidR="00031725" w:rsidRDefault="00000000">
            <w:pPr>
              <w:spacing w:after="0"/>
              <w:rPr>
                <w:sz w:val="18"/>
                <w:szCs w:val="18"/>
              </w:rPr>
            </w:pPr>
            <w:r>
              <w:rPr>
                <w:sz w:val="18"/>
                <w:szCs w:val="18"/>
              </w:rPr>
              <w:t>Edge deployment is the default unless centralised infrastructure is demonstrably more efficient, which must be justified and documented. Repository recommendations must consider the capacity and funding status of target repositories to avoid contributing to submission overload. Where cloud deployment is adopted under P11, implementers should document how the environmental impact has been considered and why edge deployment was not viable. Energy footprint should be captured in provenance records at the component and workflow step level to support evaluation and optimisation over time.</w:t>
            </w:r>
          </w:p>
        </w:tc>
      </w:tr>
    </w:tbl>
    <w:p w14:paraId="0000026D" w14:textId="77777777" w:rsidR="00031725" w:rsidRDefault="00031725">
      <w:pPr>
        <w:rPr>
          <w:sz w:val="18"/>
          <w:szCs w:val="18"/>
        </w:rPr>
      </w:pPr>
    </w:p>
    <w:p w14:paraId="0000026E" w14:textId="77777777" w:rsidR="00031725" w:rsidRDefault="00000000">
      <w:pPr>
        <w:pStyle w:val="Heading1"/>
        <w:pBdr>
          <w:bottom w:val="single" w:sz="4" w:space="4" w:color="005B52"/>
        </w:pBdr>
      </w:pPr>
      <w:bookmarkStart w:id="25" w:name="_Toc233654401"/>
      <w:r>
        <w:t>7. Functional Specification</w:t>
      </w:r>
      <w:bookmarkEnd w:id="25"/>
      <w:r>
        <w:t xml:space="preserve"> </w:t>
      </w:r>
    </w:p>
    <w:p w14:paraId="0000026F" w14:textId="77777777" w:rsidR="00031725" w:rsidRDefault="00000000">
      <w:r>
        <w:t>This section defines what the Data Director must do and how it must behave. It is structured in two parts.</w:t>
      </w:r>
    </w:p>
    <w:p w14:paraId="00000270" w14:textId="77777777" w:rsidR="00031725" w:rsidRDefault="00000000">
      <w:r>
        <w:t>Section 7.1 sets out the functional requirements: the specific capabilities the Data Director must provide, ordered to follow the workflow sequence established in the uses table in Section 4.1. Each requirement is assigned a priority level and mapped to known existing tools and resources in the Existing Solutions column. The Existing Solutions column is informational, not prescriptive. It identifies tools and resources the community has confirmed are relevant or compatible, to support implementers in meeting each requirement. It is not a complete list and does not constitute an endorsement of any specific product or platform; it reflects the state of community knowledge at the time of writing. Entries where no confirmed existing solution has been identified are marked accordingly; where a known tool is in active development or awaiting community evaluation, this is noted against the relevant entry.</w:t>
      </w:r>
    </w:p>
    <w:p w14:paraId="00000271" w14:textId="77777777" w:rsidR="00031725" w:rsidRDefault="00000000">
      <w:r>
        <w:t>Section 7.2 sets out the non-functional requirements: the quality standards and constraints the Data Director must meet across all its capabilities, regardless of which functional requirements are implemented.</w:t>
      </w:r>
    </w:p>
    <w:p w14:paraId="00000272" w14:textId="609D49B9" w:rsidR="00031725" w:rsidRDefault="00555B08">
      <w:pPr>
        <w:pStyle w:val="Heading2"/>
      </w:pPr>
      <w:bookmarkStart w:id="26" w:name="_Toc233654402"/>
      <w:r>
        <w:t>7.1 Functional Requirements</w:t>
      </w:r>
      <w:bookmarkEnd w:id="26"/>
      <w:r>
        <w:t xml:space="preserve"> </w:t>
      </w:r>
    </w:p>
    <w:p w14:paraId="00000273" w14:textId="77777777" w:rsidR="00031725" w:rsidRDefault="00000000">
      <w:pPr>
        <w:spacing w:before="80" w:after="80"/>
      </w:pPr>
      <w:r>
        <w:t>The following requirements describe the specific capabilities and behaviours the Data Director must provide (Table 3). They are ordered broadly to follow the workflow sequence established in the uses table in Section 4.1, though some requirements span multiple workflow phases.</w:t>
      </w:r>
    </w:p>
    <w:p w14:paraId="00000274" w14:textId="77777777" w:rsidR="00031725" w:rsidRDefault="00000000">
      <w:pPr>
        <w:spacing w:before="80" w:after="80"/>
      </w:pPr>
      <w:r>
        <w:lastRenderedPageBreak/>
        <w:t xml:space="preserve">The key words MUST, SHOULD, and MAY in this document are to be interpreted as described in </w:t>
      </w:r>
      <w:hyperlink r:id="rId26">
        <w:r w:rsidR="00031725">
          <w:rPr>
            <w:color w:val="1155CC"/>
            <w:u w:val="single"/>
          </w:rPr>
          <w:t>BCP 14</w:t>
        </w:r>
      </w:hyperlink>
      <w:r>
        <w:t xml:space="preserve"> (RFC 2119, RFC 8174)</w:t>
      </w:r>
      <w:r>
        <w:rPr>
          <w:vertAlign w:val="superscript"/>
        </w:rPr>
        <w:footnoteReference w:id="17"/>
      </w:r>
      <w:hyperlink r:id="rId27">
        <w:r w:rsidR="00031725">
          <w:t xml:space="preserve"> </w:t>
        </w:r>
      </w:hyperlink>
      <w:r>
        <w:t>when, and only when, they appear in capitals as shown here. Each is qualified using one of three terms:</w:t>
      </w:r>
    </w:p>
    <w:p w14:paraId="00000275" w14:textId="77777777" w:rsidR="00031725" w:rsidRDefault="00000000">
      <w:pPr>
        <w:numPr>
          <w:ilvl w:val="0"/>
          <w:numId w:val="32"/>
        </w:numPr>
        <w:spacing w:before="60" w:after="0"/>
      </w:pPr>
      <w:r>
        <w:rPr>
          <w:b/>
          <w:bCs/>
        </w:rPr>
        <w:t xml:space="preserve">MUST: </w:t>
      </w:r>
      <w:r>
        <w:t>mandatory; no compliant implementation without this.</w:t>
      </w:r>
    </w:p>
    <w:p w14:paraId="00000276" w14:textId="77777777" w:rsidR="00031725" w:rsidRDefault="00000000">
      <w:pPr>
        <w:numPr>
          <w:ilvl w:val="0"/>
          <w:numId w:val="32"/>
        </w:numPr>
        <w:spacing w:after="0"/>
      </w:pPr>
      <w:r>
        <w:rPr>
          <w:b/>
          <w:bCs/>
        </w:rPr>
        <w:t xml:space="preserve">SHOULD: </w:t>
      </w:r>
      <w:r>
        <w:t>strongly recommended; departure requires documented justification.</w:t>
      </w:r>
    </w:p>
    <w:p w14:paraId="00000277" w14:textId="77777777" w:rsidR="00031725" w:rsidRDefault="00000000">
      <w:pPr>
        <w:numPr>
          <w:ilvl w:val="0"/>
          <w:numId w:val="32"/>
        </w:numPr>
        <w:spacing w:after="60"/>
      </w:pPr>
      <w:r>
        <w:rPr>
          <w:b/>
          <w:bCs/>
        </w:rPr>
        <w:t xml:space="preserve">MAY: </w:t>
      </w:r>
      <w:r>
        <w:t>optional but explicitly permitted.</w:t>
      </w:r>
    </w:p>
    <w:p w14:paraId="00000278" w14:textId="77777777" w:rsidR="00031725" w:rsidRDefault="00000000">
      <w:pPr>
        <w:spacing w:before="100" w:after="80"/>
      </w:pPr>
      <w:r>
        <w:t>Where a requirement is marked SHOULD, implementing organisations operating in contexts with more demanding compliance or audit requirements should consider whether that requirement should be treated as MUST in their deployment. This applies in particular to R1 and R8, as noted in the relevant rows.</w:t>
      </w:r>
    </w:p>
    <w:p w14:paraId="2F40E16B" w14:textId="77777777" w:rsidR="00555B08" w:rsidRDefault="00555B08">
      <w:pPr>
        <w:spacing w:before="100" w:after="80"/>
      </w:pPr>
    </w:p>
    <w:p w14:paraId="1D1A7C79" w14:textId="77777777" w:rsidR="00555B08" w:rsidRDefault="00555B08">
      <w:pPr>
        <w:spacing w:before="100" w:after="80"/>
      </w:pPr>
    </w:p>
    <w:p w14:paraId="767C7784" w14:textId="77777777" w:rsidR="00555B08" w:rsidRDefault="00555B08">
      <w:pPr>
        <w:spacing w:before="100" w:after="80"/>
      </w:pPr>
    </w:p>
    <w:p w14:paraId="074012B8" w14:textId="77777777" w:rsidR="00555B08" w:rsidRDefault="00555B08">
      <w:pPr>
        <w:spacing w:before="100" w:after="80"/>
      </w:pPr>
    </w:p>
    <w:p w14:paraId="5D1EA955" w14:textId="77777777" w:rsidR="00555B08" w:rsidRDefault="00555B08">
      <w:pPr>
        <w:spacing w:before="100" w:after="80"/>
      </w:pPr>
    </w:p>
    <w:p w14:paraId="1B2CFE5E" w14:textId="77777777" w:rsidR="00555B08" w:rsidRDefault="00555B08">
      <w:pPr>
        <w:spacing w:before="100" w:after="80"/>
      </w:pPr>
    </w:p>
    <w:p w14:paraId="7CA38966" w14:textId="77777777" w:rsidR="00555B08" w:rsidRDefault="00555B08">
      <w:pPr>
        <w:spacing w:before="100" w:after="80"/>
      </w:pPr>
    </w:p>
    <w:p w14:paraId="7593D92C" w14:textId="77777777" w:rsidR="00555B08" w:rsidRDefault="00555B08">
      <w:pPr>
        <w:spacing w:before="100" w:after="80"/>
      </w:pPr>
    </w:p>
    <w:p w14:paraId="3543E7B1" w14:textId="77777777" w:rsidR="00555B08" w:rsidRDefault="00555B08">
      <w:pPr>
        <w:spacing w:before="100" w:after="80"/>
      </w:pPr>
    </w:p>
    <w:p w14:paraId="1E924935" w14:textId="77777777" w:rsidR="00555B08" w:rsidRDefault="00555B08">
      <w:pPr>
        <w:spacing w:before="100" w:after="80"/>
      </w:pPr>
    </w:p>
    <w:p w14:paraId="7D0536F8" w14:textId="77777777" w:rsidR="00555B08" w:rsidRDefault="00555B08">
      <w:pPr>
        <w:spacing w:before="100" w:after="80"/>
      </w:pPr>
    </w:p>
    <w:p w14:paraId="38F62F34" w14:textId="77777777" w:rsidR="00555B08" w:rsidRDefault="00555B08">
      <w:pPr>
        <w:spacing w:before="100" w:after="80"/>
      </w:pPr>
    </w:p>
    <w:p w14:paraId="0CF5B2FF" w14:textId="77777777" w:rsidR="00555B08" w:rsidRDefault="00555B08">
      <w:pPr>
        <w:spacing w:before="100" w:after="80"/>
      </w:pPr>
    </w:p>
    <w:p w14:paraId="6C67F9A4" w14:textId="77777777" w:rsidR="00555B08" w:rsidRDefault="00555B08">
      <w:pPr>
        <w:spacing w:before="100" w:after="80"/>
      </w:pPr>
    </w:p>
    <w:p w14:paraId="32939868" w14:textId="77777777" w:rsidR="00555B08" w:rsidRDefault="00555B08">
      <w:pPr>
        <w:spacing w:before="100" w:after="80"/>
      </w:pPr>
    </w:p>
    <w:p w14:paraId="4246CDD9" w14:textId="77777777" w:rsidR="00555B08" w:rsidRDefault="00555B08">
      <w:pPr>
        <w:spacing w:before="100" w:after="80"/>
      </w:pPr>
    </w:p>
    <w:p w14:paraId="7799FDC2" w14:textId="77777777" w:rsidR="00555B08" w:rsidRDefault="00555B08">
      <w:pPr>
        <w:spacing w:before="100" w:after="80"/>
      </w:pPr>
    </w:p>
    <w:p w14:paraId="11A12169" w14:textId="77777777" w:rsidR="00555B08" w:rsidRDefault="00555B08">
      <w:pPr>
        <w:spacing w:before="100" w:after="80"/>
      </w:pPr>
    </w:p>
    <w:p w14:paraId="1AC9EACE" w14:textId="77777777" w:rsidR="00555B08" w:rsidRDefault="00555B08">
      <w:pPr>
        <w:spacing w:before="100" w:after="80"/>
      </w:pPr>
    </w:p>
    <w:p w14:paraId="22FD4610" w14:textId="77777777" w:rsidR="00555B08" w:rsidRDefault="00555B08">
      <w:pPr>
        <w:spacing w:before="100" w:after="80"/>
      </w:pPr>
    </w:p>
    <w:p w14:paraId="5F7A5508" w14:textId="77777777" w:rsidR="00555B08" w:rsidRDefault="00555B08">
      <w:pPr>
        <w:spacing w:before="100" w:after="80"/>
      </w:pPr>
    </w:p>
    <w:p w14:paraId="3B829FE6" w14:textId="77777777" w:rsidR="00555B08" w:rsidRDefault="00555B08">
      <w:pPr>
        <w:spacing w:before="100" w:after="80"/>
      </w:pPr>
    </w:p>
    <w:p w14:paraId="00000279" w14:textId="77777777" w:rsidR="00031725" w:rsidRDefault="00000000">
      <w:pPr>
        <w:spacing w:before="100" w:after="80"/>
        <w:rPr>
          <w:sz w:val="18"/>
          <w:szCs w:val="18"/>
        </w:rPr>
      </w:pPr>
      <w:r>
        <w:rPr>
          <w:b/>
          <w:bCs/>
          <w:sz w:val="18"/>
          <w:szCs w:val="18"/>
        </w:rPr>
        <w:lastRenderedPageBreak/>
        <w:t xml:space="preserve">Table 3. </w:t>
      </w:r>
      <w:r>
        <w:rPr>
          <w:sz w:val="18"/>
          <w:szCs w:val="18"/>
        </w:rPr>
        <w:t>Functional requirements for the Data Director, showing each capability, its description, its priority, and known existing solutions or resources.</w:t>
      </w:r>
    </w:p>
    <w:tbl>
      <w:tblPr>
        <w:tblStyle w:val="a3"/>
        <w:tblpPr w:leftFromText="180" w:rightFromText="180" w:vertAnchor="text" w:tblpY="1"/>
        <w:tblOverlap w:val="never"/>
        <w:tblW w:w="90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60"/>
        <w:gridCol w:w="2160"/>
        <w:gridCol w:w="2460"/>
        <w:gridCol w:w="1470"/>
        <w:gridCol w:w="2265"/>
      </w:tblGrid>
      <w:tr w:rsidR="00031725" w14:paraId="363F65C7" w14:textId="77777777" w:rsidTr="00555B08">
        <w:trPr>
          <w:trHeight w:val="375"/>
        </w:trPr>
        <w:tc>
          <w:tcPr>
            <w:tcW w:w="660" w:type="dxa"/>
            <w:tcBorders>
              <w:top w:val="single" w:sz="5" w:space="0" w:color="005B52"/>
              <w:left w:val="single" w:sz="5" w:space="0" w:color="005B52"/>
              <w:bottom w:val="single" w:sz="5" w:space="0" w:color="005B52"/>
              <w:right w:val="single" w:sz="5" w:space="0" w:color="005B52"/>
            </w:tcBorders>
            <w:shd w:val="clear" w:color="auto" w:fill="005B52"/>
            <w:tcMar>
              <w:top w:w="80" w:type="dxa"/>
              <w:left w:w="120" w:type="dxa"/>
              <w:bottom w:w="80" w:type="dxa"/>
              <w:right w:w="120" w:type="dxa"/>
            </w:tcMar>
          </w:tcPr>
          <w:p w14:paraId="0000027A" w14:textId="77777777" w:rsidR="00031725" w:rsidRDefault="00000000" w:rsidP="00555B08">
            <w:pPr>
              <w:spacing w:after="0"/>
              <w:jc w:val="center"/>
              <w:rPr>
                <w:b/>
                <w:bCs/>
                <w:color w:val="FFFFFF"/>
                <w:sz w:val="18"/>
                <w:szCs w:val="18"/>
              </w:rPr>
            </w:pPr>
            <w:r>
              <w:rPr>
                <w:b/>
                <w:bCs/>
                <w:color w:val="FFFFFF"/>
                <w:sz w:val="18"/>
                <w:szCs w:val="18"/>
              </w:rPr>
              <w:t>ID</w:t>
            </w:r>
          </w:p>
        </w:tc>
        <w:tc>
          <w:tcPr>
            <w:tcW w:w="2160" w:type="dxa"/>
            <w:tcBorders>
              <w:top w:val="single" w:sz="5" w:space="0" w:color="005B52"/>
              <w:left w:val="single" w:sz="5" w:space="0" w:color="005B52"/>
              <w:bottom w:val="single" w:sz="5" w:space="0" w:color="005B52"/>
              <w:right w:val="single" w:sz="5" w:space="0" w:color="005B52"/>
            </w:tcBorders>
            <w:shd w:val="clear" w:color="auto" w:fill="005B52"/>
            <w:tcMar>
              <w:top w:w="80" w:type="dxa"/>
              <w:left w:w="120" w:type="dxa"/>
              <w:bottom w:w="80" w:type="dxa"/>
              <w:right w:w="120" w:type="dxa"/>
            </w:tcMar>
          </w:tcPr>
          <w:p w14:paraId="0000027B" w14:textId="77777777" w:rsidR="00031725" w:rsidRDefault="00000000" w:rsidP="00555B08">
            <w:pPr>
              <w:spacing w:after="0"/>
              <w:jc w:val="center"/>
              <w:rPr>
                <w:b/>
                <w:bCs/>
                <w:color w:val="FFFFFF"/>
                <w:sz w:val="18"/>
                <w:szCs w:val="18"/>
              </w:rPr>
            </w:pPr>
            <w:r>
              <w:rPr>
                <w:b/>
                <w:bCs/>
                <w:color w:val="FFFFFF"/>
                <w:sz w:val="18"/>
                <w:szCs w:val="18"/>
              </w:rPr>
              <w:t>Requirement</w:t>
            </w:r>
          </w:p>
        </w:tc>
        <w:tc>
          <w:tcPr>
            <w:tcW w:w="2460" w:type="dxa"/>
            <w:tcBorders>
              <w:top w:val="single" w:sz="5" w:space="0" w:color="005B52"/>
              <w:left w:val="single" w:sz="5" w:space="0" w:color="005B52"/>
              <w:bottom w:val="single" w:sz="5" w:space="0" w:color="005B52"/>
              <w:right w:val="single" w:sz="5" w:space="0" w:color="005B52"/>
            </w:tcBorders>
            <w:shd w:val="clear" w:color="auto" w:fill="005B52"/>
            <w:tcMar>
              <w:top w:w="80" w:type="dxa"/>
              <w:left w:w="120" w:type="dxa"/>
              <w:bottom w:w="80" w:type="dxa"/>
              <w:right w:w="120" w:type="dxa"/>
            </w:tcMar>
          </w:tcPr>
          <w:p w14:paraId="0000027C" w14:textId="77777777" w:rsidR="00031725" w:rsidRDefault="00000000" w:rsidP="00555B08">
            <w:pPr>
              <w:spacing w:after="0"/>
              <w:jc w:val="center"/>
              <w:rPr>
                <w:b/>
                <w:bCs/>
                <w:color w:val="FFFFFF"/>
                <w:sz w:val="18"/>
                <w:szCs w:val="18"/>
              </w:rPr>
            </w:pPr>
            <w:r>
              <w:rPr>
                <w:b/>
                <w:bCs/>
                <w:color w:val="FFFFFF"/>
                <w:sz w:val="18"/>
                <w:szCs w:val="18"/>
              </w:rPr>
              <w:t>Description</w:t>
            </w:r>
          </w:p>
        </w:tc>
        <w:tc>
          <w:tcPr>
            <w:tcW w:w="1470" w:type="dxa"/>
            <w:tcBorders>
              <w:top w:val="single" w:sz="5" w:space="0" w:color="005B52"/>
              <w:left w:val="single" w:sz="5" w:space="0" w:color="005B52"/>
              <w:bottom w:val="single" w:sz="5" w:space="0" w:color="005B52"/>
              <w:right w:val="single" w:sz="5" w:space="0" w:color="005B52"/>
            </w:tcBorders>
            <w:shd w:val="clear" w:color="auto" w:fill="005B52"/>
            <w:tcMar>
              <w:top w:w="80" w:type="dxa"/>
              <w:left w:w="120" w:type="dxa"/>
              <w:bottom w:w="80" w:type="dxa"/>
              <w:right w:w="120" w:type="dxa"/>
            </w:tcMar>
          </w:tcPr>
          <w:p w14:paraId="0000027D" w14:textId="77777777" w:rsidR="00031725" w:rsidRDefault="00000000" w:rsidP="00555B08">
            <w:pPr>
              <w:spacing w:after="0"/>
              <w:jc w:val="center"/>
              <w:rPr>
                <w:b/>
                <w:bCs/>
                <w:color w:val="FFFFFF"/>
                <w:sz w:val="18"/>
                <w:szCs w:val="18"/>
              </w:rPr>
            </w:pPr>
            <w:r>
              <w:rPr>
                <w:b/>
                <w:bCs/>
                <w:color w:val="FFFFFF"/>
                <w:sz w:val="18"/>
                <w:szCs w:val="18"/>
              </w:rPr>
              <w:t>Priority</w:t>
            </w:r>
          </w:p>
        </w:tc>
        <w:tc>
          <w:tcPr>
            <w:tcW w:w="2265" w:type="dxa"/>
            <w:tcBorders>
              <w:top w:val="single" w:sz="5" w:space="0" w:color="005B52"/>
              <w:left w:val="single" w:sz="5" w:space="0" w:color="005B52"/>
              <w:bottom w:val="single" w:sz="5" w:space="0" w:color="005B52"/>
              <w:right w:val="single" w:sz="5" w:space="0" w:color="005B52"/>
            </w:tcBorders>
            <w:shd w:val="clear" w:color="auto" w:fill="005B52"/>
            <w:tcMar>
              <w:top w:w="80" w:type="dxa"/>
              <w:left w:w="120" w:type="dxa"/>
              <w:bottom w:w="80" w:type="dxa"/>
              <w:right w:w="120" w:type="dxa"/>
            </w:tcMar>
          </w:tcPr>
          <w:p w14:paraId="0000027E" w14:textId="77777777" w:rsidR="00031725" w:rsidRDefault="00000000" w:rsidP="00555B08">
            <w:pPr>
              <w:spacing w:after="0"/>
              <w:jc w:val="center"/>
              <w:rPr>
                <w:b/>
                <w:bCs/>
                <w:color w:val="FFFFFF"/>
                <w:sz w:val="18"/>
                <w:szCs w:val="18"/>
              </w:rPr>
            </w:pPr>
            <w:r>
              <w:rPr>
                <w:b/>
                <w:bCs/>
                <w:color w:val="FFFFFF"/>
                <w:sz w:val="18"/>
                <w:szCs w:val="18"/>
              </w:rPr>
              <w:t>Existing Solutions</w:t>
            </w:r>
          </w:p>
        </w:tc>
      </w:tr>
      <w:tr w:rsidR="00031725" w14:paraId="39304F7F" w14:textId="77777777" w:rsidTr="00555B08">
        <w:trPr>
          <w:trHeight w:val="780"/>
        </w:trPr>
        <w:tc>
          <w:tcPr>
            <w:tcW w:w="660" w:type="dxa"/>
            <w:tcBorders>
              <w:top w:val="single" w:sz="5" w:space="0" w:color="005B52"/>
              <w:left w:val="single" w:sz="5" w:space="0" w:color="005B52"/>
              <w:bottom w:val="single" w:sz="5" w:space="0" w:color="005B52"/>
              <w:right w:val="single" w:sz="5" w:space="0" w:color="005B52"/>
            </w:tcBorders>
            <w:shd w:val="clear" w:color="auto" w:fill="005B52"/>
            <w:tcMar>
              <w:top w:w="80" w:type="dxa"/>
              <w:left w:w="120" w:type="dxa"/>
              <w:bottom w:w="80" w:type="dxa"/>
              <w:right w:w="120" w:type="dxa"/>
            </w:tcMar>
          </w:tcPr>
          <w:p w14:paraId="0000027F" w14:textId="77777777" w:rsidR="00031725" w:rsidRDefault="00000000" w:rsidP="00555B08">
            <w:pPr>
              <w:spacing w:after="0"/>
              <w:jc w:val="center"/>
              <w:rPr>
                <w:sz w:val="18"/>
                <w:szCs w:val="18"/>
              </w:rPr>
            </w:pPr>
            <w:r>
              <w:rPr>
                <w:sz w:val="18"/>
                <w:szCs w:val="18"/>
              </w:rPr>
              <w:t xml:space="preserve"> </w:t>
            </w:r>
          </w:p>
        </w:tc>
        <w:tc>
          <w:tcPr>
            <w:tcW w:w="2160" w:type="dxa"/>
            <w:tcBorders>
              <w:top w:val="single" w:sz="5" w:space="0" w:color="005B52"/>
              <w:left w:val="single" w:sz="5" w:space="0" w:color="005B52"/>
              <w:bottom w:val="single" w:sz="5" w:space="0" w:color="005B52"/>
              <w:right w:val="single" w:sz="5" w:space="0" w:color="005B52"/>
            </w:tcBorders>
            <w:shd w:val="clear" w:color="auto" w:fill="005B52"/>
            <w:tcMar>
              <w:top w:w="80" w:type="dxa"/>
              <w:left w:w="120" w:type="dxa"/>
              <w:bottom w:w="80" w:type="dxa"/>
              <w:right w:w="120" w:type="dxa"/>
            </w:tcMar>
          </w:tcPr>
          <w:p w14:paraId="00000280" w14:textId="77777777" w:rsidR="00031725" w:rsidRDefault="00000000" w:rsidP="00555B08">
            <w:pPr>
              <w:spacing w:after="0"/>
              <w:jc w:val="center"/>
              <w:rPr>
                <w:i/>
                <w:iCs/>
                <w:color w:val="FFFFFF"/>
                <w:sz w:val="18"/>
                <w:szCs w:val="18"/>
              </w:rPr>
            </w:pPr>
            <w:r>
              <w:rPr>
                <w:i/>
                <w:iCs/>
                <w:color w:val="FFFFFF"/>
                <w:sz w:val="18"/>
                <w:szCs w:val="18"/>
              </w:rPr>
              <w:t>The specific capability or behaviour</w:t>
            </w:r>
          </w:p>
        </w:tc>
        <w:tc>
          <w:tcPr>
            <w:tcW w:w="2460" w:type="dxa"/>
            <w:tcBorders>
              <w:top w:val="single" w:sz="5" w:space="0" w:color="005B52"/>
              <w:left w:val="single" w:sz="5" w:space="0" w:color="005B52"/>
              <w:bottom w:val="single" w:sz="5" w:space="0" w:color="005B52"/>
              <w:right w:val="single" w:sz="5" w:space="0" w:color="005B52"/>
            </w:tcBorders>
            <w:shd w:val="clear" w:color="auto" w:fill="005B52"/>
            <w:tcMar>
              <w:top w:w="80" w:type="dxa"/>
              <w:left w:w="120" w:type="dxa"/>
              <w:bottom w:w="80" w:type="dxa"/>
              <w:right w:w="120" w:type="dxa"/>
            </w:tcMar>
          </w:tcPr>
          <w:p w14:paraId="00000281" w14:textId="77777777" w:rsidR="00031725" w:rsidRDefault="00000000" w:rsidP="00555B08">
            <w:pPr>
              <w:spacing w:after="0"/>
              <w:jc w:val="center"/>
              <w:rPr>
                <w:i/>
                <w:iCs/>
                <w:color w:val="FFFFFF"/>
                <w:sz w:val="18"/>
                <w:szCs w:val="18"/>
              </w:rPr>
            </w:pPr>
            <w:r>
              <w:rPr>
                <w:i/>
                <w:iCs/>
                <w:color w:val="FFFFFF"/>
                <w:sz w:val="18"/>
                <w:szCs w:val="18"/>
              </w:rPr>
              <w:t>What the requirement means in practice</w:t>
            </w:r>
          </w:p>
        </w:tc>
        <w:tc>
          <w:tcPr>
            <w:tcW w:w="1470" w:type="dxa"/>
            <w:tcBorders>
              <w:top w:val="single" w:sz="5" w:space="0" w:color="005B52"/>
              <w:left w:val="single" w:sz="5" w:space="0" w:color="005B52"/>
              <w:bottom w:val="single" w:sz="5" w:space="0" w:color="005B52"/>
              <w:right w:val="single" w:sz="5" w:space="0" w:color="005B52"/>
            </w:tcBorders>
            <w:shd w:val="clear" w:color="auto" w:fill="005B52"/>
            <w:tcMar>
              <w:top w:w="80" w:type="dxa"/>
              <w:left w:w="120" w:type="dxa"/>
              <w:bottom w:w="80" w:type="dxa"/>
              <w:right w:w="120" w:type="dxa"/>
            </w:tcMar>
          </w:tcPr>
          <w:p w14:paraId="00000282" w14:textId="77777777" w:rsidR="00031725" w:rsidRDefault="00000000" w:rsidP="00555B08">
            <w:pPr>
              <w:spacing w:after="0"/>
              <w:jc w:val="center"/>
              <w:rPr>
                <w:i/>
                <w:iCs/>
                <w:color w:val="FFFFFF"/>
                <w:sz w:val="18"/>
                <w:szCs w:val="18"/>
              </w:rPr>
            </w:pPr>
            <w:r>
              <w:rPr>
                <w:i/>
                <w:iCs/>
                <w:color w:val="FFFFFF"/>
                <w:sz w:val="18"/>
                <w:szCs w:val="18"/>
              </w:rPr>
              <w:t>MUST / SHOULD / MAY</w:t>
            </w:r>
          </w:p>
        </w:tc>
        <w:tc>
          <w:tcPr>
            <w:tcW w:w="2265" w:type="dxa"/>
            <w:tcBorders>
              <w:top w:val="single" w:sz="5" w:space="0" w:color="005B52"/>
              <w:left w:val="single" w:sz="5" w:space="0" w:color="005B52"/>
              <w:bottom w:val="single" w:sz="5" w:space="0" w:color="005B52"/>
              <w:right w:val="single" w:sz="5" w:space="0" w:color="005B52"/>
            </w:tcBorders>
            <w:shd w:val="clear" w:color="auto" w:fill="005B52"/>
            <w:tcMar>
              <w:top w:w="80" w:type="dxa"/>
              <w:left w:w="120" w:type="dxa"/>
              <w:bottom w:w="80" w:type="dxa"/>
              <w:right w:w="120" w:type="dxa"/>
            </w:tcMar>
          </w:tcPr>
          <w:p w14:paraId="00000283" w14:textId="77777777" w:rsidR="00031725" w:rsidRDefault="00000000" w:rsidP="00555B08">
            <w:pPr>
              <w:spacing w:after="0"/>
              <w:jc w:val="center"/>
              <w:rPr>
                <w:i/>
                <w:iCs/>
                <w:color w:val="FFFFFF"/>
                <w:sz w:val="18"/>
                <w:szCs w:val="18"/>
              </w:rPr>
            </w:pPr>
            <w:r>
              <w:rPr>
                <w:i/>
                <w:iCs/>
                <w:color w:val="FFFFFF"/>
                <w:sz w:val="18"/>
                <w:szCs w:val="18"/>
              </w:rPr>
              <w:t>Relevant or compatible known tools and resources</w:t>
            </w:r>
          </w:p>
        </w:tc>
      </w:tr>
      <w:tr w:rsidR="00031725" w14:paraId="07212475" w14:textId="77777777" w:rsidTr="00555B08">
        <w:trPr>
          <w:trHeight w:val="5235"/>
        </w:trPr>
        <w:tc>
          <w:tcPr>
            <w:tcW w:w="66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84" w14:textId="77777777" w:rsidR="00031725" w:rsidRDefault="00000000" w:rsidP="00555B08">
            <w:pPr>
              <w:spacing w:after="0"/>
              <w:jc w:val="center"/>
              <w:rPr>
                <w:b/>
                <w:bCs/>
                <w:sz w:val="18"/>
                <w:szCs w:val="18"/>
              </w:rPr>
            </w:pPr>
            <w:r>
              <w:rPr>
                <w:b/>
                <w:bCs/>
                <w:sz w:val="18"/>
                <w:szCs w:val="18"/>
              </w:rPr>
              <w:t>R1</w:t>
            </w:r>
          </w:p>
        </w:tc>
        <w:tc>
          <w:tcPr>
            <w:tcW w:w="216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85" w14:textId="77777777" w:rsidR="00031725" w:rsidRDefault="00000000" w:rsidP="00555B08">
            <w:pPr>
              <w:spacing w:after="60"/>
              <w:rPr>
                <w:b/>
                <w:bCs/>
                <w:sz w:val="18"/>
                <w:szCs w:val="18"/>
              </w:rPr>
            </w:pPr>
            <w:r>
              <w:rPr>
                <w:b/>
                <w:bCs/>
                <w:sz w:val="18"/>
                <w:szCs w:val="18"/>
              </w:rPr>
              <w:t>Recommend and select repositories meeting funder, journal, institutional and community requirements</w:t>
            </w:r>
          </w:p>
        </w:tc>
        <w:tc>
          <w:tcPr>
            <w:tcW w:w="246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86" w14:textId="77777777" w:rsidR="00031725" w:rsidRDefault="00000000" w:rsidP="00555B08">
            <w:pPr>
              <w:spacing w:after="60"/>
              <w:rPr>
                <w:sz w:val="18"/>
                <w:szCs w:val="18"/>
              </w:rPr>
            </w:pPr>
            <w:r>
              <w:rPr>
                <w:sz w:val="18"/>
                <w:szCs w:val="18"/>
              </w:rPr>
              <w:t>Identify suitable repositories and flag conflicts between funder, journal and institutional requirements. Repository selection should be initiated before metadata generation, since the selected repository determines the required metadata schema, controlled vocabularies, and validation rules. Recommendations must distinguish commercial from open repositories, surface deposit fees, and support affiliation-based suggestions.</w:t>
            </w:r>
          </w:p>
        </w:tc>
        <w:tc>
          <w:tcPr>
            <w:tcW w:w="147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87" w14:textId="77777777" w:rsidR="00031725" w:rsidRDefault="00000000" w:rsidP="00555B08">
            <w:pPr>
              <w:spacing w:after="60"/>
              <w:jc w:val="center"/>
              <w:rPr>
                <w:b/>
                <w:bCs/>
                <w:sz w:val="18"/>
                <w:szCs w:val="18"/>
              </w:rPr>
            </w:pPr>
            <w:r>
              <w:rPr>
                <w:b/>
                <w:bCs/>
                <w:sz w:val="18"/>
                <w:szCs w:val="18"/>
              </w:rPr>
              <w:t>SHOULD</w:t>
            </w:r>
          </w:p>
          <w:p w14:paraId="00000288" w14:textId="77777777" w:rsidR="00031725" w:rsidRDefault="00000000" w:rsidP="00555B08">
            <w:pPr>
              <w:spacing w:before="80" w:after="0"/>
              <w:rPr>
                <w:sz w:val="18"/>
                <w:szCs w:val="18"/>
              </w:rPr>
            </w:pPr>
            <w:r>
              <w:rPr>
                <w:sz w:val="18"/>
                <w:szCs w:val="18"/>
              </w:rPr>
              <w:t>Where repository recommendation is a mandatory service requirement, implementers should treat this as MUST.</w:t>
            </w:r>
          </w:p>
          <w:p w14:paraId="00000289" w14:textId="77777777" w:rsidR="00031725" w:rsidRDefault="00031725" w:rsidP="00555B08">
            <w:pPr>
              <w:spacing w:before="80" w:after="0"/>
              <w:rPr>
                <w:sz w:val="18"/>
                <w:szCs w:val="18"/>
              </w:rPr>
            </w:pPr>
          </w:p>
          <w:p w14:paraId="0000028B" w14:textId="17C28DC5" w:rsidR="00031725" w:rsidRDefault="00000000" w:rsidP="00555B08">
            <w:pPr>
              <w:spacing w:after="0"/>
              <w:rPr>
                <w:sz w:val="18"/>
                <w:szCs w:val="18"/>
              </w:rPr>
            </w:pPr>
            <w:r>
              <w:rPr>
                <w:sz w:val="18"/>
                <w:szCs w:val="18"/>
              </w:rPr>
              <w:t>Note: implementing organisations must assess whether C3 Compliance (a non-functional requirement set out in Section 7.2, Table 4) requires treating R1 as MUST.</w:t>
            </w:r>
          </w:p>
        </w:tc>
        <w:tc>
          <w:tcPr>
            <w:tcW w:w="226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8C" w14:textId="77777777" w:rsidR="00031725" w:rsidRDefault="00031725" w:rsidP="00555B08">
            <w:pPr>
              <w:spacing w:after="0"/>
              <w:rPr>
                <w:sz w:val="18"/>
                <w:szCs w:val="18"/>
              </w:rPr>
            </w:pPr>
            <w:hyperlink r:id="rId28">
              <w:r>
                <w:rPr>
                  <w:b/>
                  <w:bCs/>
                  <w:color w:val="1155CC"/>
                  <w:sz w:val="18"/>
                  <w:szCs w:val="18"/>
                  <w:u w:val="single"/>
                </w:rPr>
                <w:t>FAIRsharing</w:t>
              </w:r>
            </w:hyperlink>
            <w:r>
              <w:rPr>
                <w:sz w:val="18"/>
                <w:szCs w:val="18"/>
              </w:rPr>
              <w:t>.</w:t>
            </w:r>
            <w:r>
              <w:rPr>
                <w:b/>
                <w:bCs/>
                <w:sz w:val="18"/>
                <w:szCs w:val="18"/>
                <w:vertAlign w:val="superscript"/>
              </w:rPr>
              <w:footnoteReference w:id="18"/>
            </w:r>
            <w:r>
              <w:rPr>
                <w:b/>
                <w:bCs/>
                <w:sz w:val="18"/>
                <w:szCs w:val="18"/>
              </w:rPr>
              <w:t xml:space="preserve"> </w:t>
            </w:r>
            <w:r>
              <w:rPr>
                <w:sz w:val="18"/>
                <w:szCs w:val="18"/>
              </w:rPr>
              <w:t xml:space="preserve">A curated registry of community-defined standards, databases and policies across disciplines; includes repository records and supports filtering by subject and data type. A </w:t>
            </w:r>
            <w:sdt>
              <w:sdtPr>
                <w:tag w:val="goog_rdk_0"/>
                <w:id w:val="829763769"/>
              </w:sdtPr>
              <w:sdtContent>
                <w:commentRangeStart w:id="27"/>
              </w:sdtContent>
            </w:sdt>
            <w:hyperlink r:id="rId29">
              <w:r w:rsidRPr="003024B5">
                <w:rPr>
                  <w:b/>
                  <w:bCs/>
                  <w:color w:val="1155CC"/>
                  <w:sz w:val="18"/>
                  <w:szCs w:val="18"/>
                  <w:u w:val="single"/>
                </w:rPr>
                <w:t>FAIRsharing MCP server</w:t>
              </w:r>
            </w:hyperlink>
            <w:commentRangeEnd w:id="27"/>
            <w:r w:rsidRPr="003024B5">
              <w:rPr>
                <w:rStyle w:val="CommentReference"/>
                <w:b/>
                <w:bCs/>
                <w:sz w:val="18"/>
                <w:szCs w:val="18"/>
                <w:vertAlign w:val="superscript"/>
              </w:rPr>
              <w:commentReference w:id="27"/>
            </w:r>
            <w:r w:rsidRPr="003024B5">
              <w:rPr>
                <w:b/>
                <w:bCs/>
                <w:sz w:val="18"/>
                <w:szCs w:val="18"/>
                <w:vertAlign w:val="superscript"/>
              </w:rPr>
              <w:footnoteReference w:id="19"/>
            </w:r>
            <w:r>
              <w:rPr>
                <w:sz w:val="18"/>
                <w:szCs w:val="18"/>
              </w:rPr>
              <w:t xml:space="preserve"> is available for direct integration with the Data Director.</w:t>
            </w:r>
          </w:p>
          <w:p w14:paraId="0000028D" w14:textId="77777777" w:rsidR="00031725" w:rsidRDefault="00031725" w:rsidP="00555B08">
            <w:pPr>
              <w:spacing w:before="80" w:after="0"/>
              <w:rPr>
                <w:sz w:val="18"/>
                <w:szCs w:val="18"/>
              </w:rPr>
            </w:pPr>
            <w:hyperlink r:id="rId33">
              <w:r>
                <w:rPr>
                  <w:b/>
                  <w:bCs/>
                  <w:color w:val="1155CC"/>
                  <w:sz w:val="18"/>
                  <w:szCs w:val="18"/>
                  <w:u w:val="single"/>
                </w:rPr>
                <w:t>re3data</w:t>
              </w:r>
            </w:hyperlink>
            <w:r>
              <w:rPr>
                <w:b/>
                <w:bCs/>
                <w:sz w:val="18"/>
                <w:szCs w:val="18"/>
              </w:rPr>
              <w:t>.</w:t>
            </w:r>
            <w:r>
              <w:rPr>
                <w:b/>
                <w:bCs/>
                <w:sz w:val="18"/>
                <w:szCs w:val="18"/>
                <w:vertAlign w:val="superscript"/>
              </w:rPr>
              <w:footnoteReference w:id="20"/>
            </w:r>
            <w:r>
              <w:rPr>
                <w:b/>
                <w:bCs/>
                <w:sz w:val="18"/>
                <w:szCs w:val="18"/>
              </w:rPr>
              <w:t xml:space="preserve"> </w:t>
            </w:r>
            <w:r>
              <w:rPr>
                <w:sz w:val="18"/>
                <w:szCs w:val="18"/>
              </w:rPr>
              <w:t>A registry of research data repositories with filtering by subject, access type and deposit conditions.</w:t>
            </w:r>
          </w:p>
          <w:p w14:paraId="0000028E" w14:textId="2D33CACD" w:rsidR="00555B08" w:rsidRPr="00555B08" w:rsidRDefault="00555B08" w:rsidP="00555B08">
            <w:pPr>
              <w:spacing w:before="80" w:after="0"/>
              <w:rPr>
                <w:sz w:val="18"/>
                <w:szCs w:val="18"/>
              </w:rPr>
            </w:pPr>
            <w:hyperlink r:id="rId34">
              <w:r>
                <w:rPr>
                  <w:b/>
                  <w:bCs/>
                  <w:color w:val="1155CC"/>
                  <w:sz w:val="18"/>
                  <w:szCs w:val="18"/>
                  <w:u w:val="single"/>
                </w:rPr>
                <w:t>Cornell Data Storage Finder</w:t>
              </w:r>
            </w:hyperlink>
            <w:r>
              <w:rPr>
                <w:b/>
                <w:bCs/>
                <w:sz w:val="18"/>
                <w:szCs w:val="18"/>
              </w:rPr>
              <w:t>.</w:t>
            </w:r>
            <w:r>
              <w:rPr>
                <w:b/>
                <w:bCs/>
                <w:sz w:val="18"/>
                <w:szCs w:val="18"/>
                <w:vertAlign w:val="superscript"/>
              </w:rPr>
              <w:footnoteReference w:id="21"/>
            </w:r>
            <w:r>
              <w:rPr>
                <w:b/>
                <w:bCs/>
                <w:sz w:val="18"/>
                <w:szCs w:val="18"/>
              </w:rPr>
              <w:t xml:space="preserve"> </w:t>
            </w:r>
            <w:r>
              <w:rPr>
                <w:sz w:val="18"/>
                <w:szCs w:val="18"/>
              </w:rPr>
              <w:t>An open-source tool for localised repository and storage recommendations; may serve as a reference implementation for R1.</w:t>
            </w:r>
          </w:p>
        </w:tc>
      </w:tr>
      <w:tr w:rsidR="00031725" w14:paraId="14135163" w14:textId="77777777" w:rsidTr="00555B08">
        <w:trPr>
          <w:trHeight w:val="6900"/>
        </w:trPr>
        <w:tc>
          <w:tcPr>
            <w:tcW w:w="660" w:type="dxa"/>
            <w:tcBorders>
              <w:top w:val="single" w:sz="5" w:space="0" w:color="005B52"/>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28F" w14:textId="77777777" w:rsidR="00031725" w:rsidRDefault="00000000" w:rsidP="00555B08">
            <w:pPr>
              <w:spacing w:after="0"/>
              <w:rPr>
                <w:b/>
                <w:bCs/>
                <w:sz w:val="18"/>
                <w:szCs w:val="18"/>
              </w:rPr>
            </w:pPr>
            <w:r>
              <w:rPr>
                <w:b/>
                <w:bCs/>
                <w:sz w:val="18"/>
                <w:szCs w:val="18"/>
              </w:rPr>
              <w:lastRenderedPageBreak/>
              <w:t>R2</w:t>
            </w:r>
          </w:p>
        </w:tc>
        <w:tc>
          <w:tcPr>
            <w:tcW w:w="2160" w:type="dxa"/>
            <w:tcBorders>
              <w:top w:val="single" w:sz="5" w:space="0" w:color="005B52"/>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290" w14:textId="77777777" w:rsidR="00031725" w:rsidRDefault="00000000" w:rsidP="00555B08">
            <w:pPr>
              <w:spacing w:after="60"/>
              <w:rPr>
                <w:b/>
                <w:bCs/>
                <w:sz w:val="18"/>
                <w:szCs w:val="18"/>
              </w:rPr>
            </w:pPr>
            <w:r>
              <w:rPr>
                <w:b/>
                <w:bCs/>
                <w:sz w:val="18"/>
                <w:szCs w:val="18"/>
              </w:rPr>
              <w:t>Generate FAIR-aligned and discipline-appropriate metadata using controlled vocabularies, ontologies and community standards including CARE principles</w:t>
            </w:r>
          </w:p>
        </w:tc>
        <w:tc>
          <w:tcPr>
            <w:tcW w:w="2460" w:type="dxa"/>
            <w:tcBorders>
              <w:top w:val="single" w:sz="5" w:space="0" w:color="005B52"/>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291" w14:textId="77777777" w:rsidR="00031725" w:rsidRDefault="00000000" w:rsidP="00555B08">
            <w:pPr>
              <w:spacing w:after="60"/>
              <w:rPr>
                <w:sz w:val="18"/>
                <w:szCs w:val="18"/>
              </w:rPr>
            </w:pPr>
            <w:r>
              <w:rPr>
                <w:sz w:val="18"/>
                <w:szCs w:val="18"/>
              </w:rPr>
              <w:t>Generate a draft FAIR-aligned metadata record, drawing on discipline-specific vocabularies and ontologies where available. Produce metadata meeting named community standards including domain-specific fields and CARE considerations where applicable. Researcher reviews before submission. Where no controlled vocabulary exists for a domain, the tool must explicitly state this; it should additionally suggest candidate terms drawn from related datasets or adjacent community terminology, clearly flagged as informal or unvalidated.</w:t>
            </w:r>
          </w:p>
        </w:tc>
        <w:tc>
          <w:tcPr>
            <w:tcW w:w="1470" w:type="dxa"/>
            <w:tcBorders>
              <w:top w:val="single" w:sz="5" w:space="0" w:color="005B52"/>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292" w14:textId="77777777" w:rsidR="00031725" w:rsidRDefault="00000000" w:rsidP="00555B08">
            <w:pPr>
              <w:spacing w:after="60"/>
              <w:jc w:val="center"/>
              <w:rPr>
                <w:b/>
                <w:bCs/>
                <w:sz w:val="18"/>
                <w:szCs w:val="18"/>
              </w:rPr>
            </w:pPr>
            <w:r>
              <w:rPr>
                <w:b/>
                <w:bCs/>
                <w:sz w:val="18"/>
                <w:szCs w:val="18"/>
              </w:rPr>
              <w:t>MUST</w:t>
            </w:r>
          </w:p>
        </w:tc>
        <w:tc>
          <w:tcPr>
            <w:tcW w:w="2265" w:type="dxa"/>
            <w:tcBorders>
              <w:top w:val="single" w:sz="5" w:space="0" w:color="005B52"/>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293" w14:textId="77777777" w:rsidR="00031725" w:rsidRDefault="00031725" w:rsidP="00555B08">
            <w:pPr>
              <w:spacing w:after="0"/>
              <w:rPr>
                <w:sz w:val="18"/>
                <w:szCs w:val="18"/>
              </w:rPr>
            </w:pPr>
            <w:hyperlink r:id="rId35">
              <w:r>
                <w:rPr>
                  <w:b/>
                  <w:bCs/>
                  <w:color w:val="1155CC"/>
                  <w:sz w:val="18"/>
                  <w:szCs w:val="18"/>
                  <w:u w:val="single"/>
                </w:rPr>
                <w:t>Ontology Lookup Service (OLS)</w:t>
              </w:r>
            </w:hyperlink>
            <w:r>
              <w:rPr>
                <w:b/>
                <w:bCs/>
                <w:sz w:val="18"/>
                <w:szCs w:val="18"/>
              </w:rPr>
              <w:t>.</w:t>
            </w:r>
            <w:r>
              <w:rPr>
                <w:b/>
                <w:bCs/>
                <w:sz w:val="18"/>
                <w:szCs w:val="18"/>
                <w:vertAlign w:val="superscript"/>
              </w:rPr>
              <w:footnoteReference w:id="22"/>
            </w:r>
            <w:r>
              <w:rPr>
                <w:b/>
                <w:bCs/>
                <w:sz w:val="18"/>
                <w:szCs w:val="18"/>
              </w:rPr>
              <w:t xml:space="preserve"> </w:t>
            </w:r>
            <w:r>
              <w:rPr>
                <w:sz w:val="18"/>
                <w:szCs w:val="18"/>
              </w:rPr>
              <w:t>An ontology repository providing controlled vocabularies across disciplines.</w:t>
            </w:r>
          </w:p>
          <w:p w14:paraId="00000294" w14:textId="77777777" w:rsidR="00031725" w:rsidRDefault="00031725" w:rsidP="00555B08">
            <w:pPr>
              <w:spacing w:before="80" w:after="0"/>
              <w:rPr>
                <w:sz w:val="18"/>
                <w:szCs w:val="18"/>
              </w:rPr>
            </w:pPr>
            <w:hyperlink r:id="rId36">
              <w:r>
                <w:rPr>
                  <w:b/>
                  <w:bCs/>
                  <w:color w:val="1155CC"/>
                  <w:sz w:val="18"/>
                  <w:szCs w:val="18"/>
                  <w:u w:val="single"/>
                </w:rPr>
                <w:t>NFDI Terminology Service</w:t>
              </w:r>
            </w:hyperlink>
            <w:r>
              <w:rPr>
                <w:b/>
                <w:bCs/>
                <w:sz w:val="18"/>
                <w:szCs w:val="18"/>
              </w:rPr>
              <w:t>.</w:t>
            </w:r>
            <w:r>
              <w:rPr>
                <w:b/>
                <w:bCs/>
                <w:sz w:val="18"/>
                <w:szCs w:val="18"/>
                <w:vertAlign w:val="superscript"/>
              </w:rPr>
              <w:footnoteReference w:id="23"/>
            </w:r>
            <w:r>
              <w:rPr>
                <w:b/>
                <w:bCs/>
                <w:sz w:val="18"/>
                <w:szCs w:val="18"/>
              </w:rPr>
              <w:t xml:space="preserve"> </w:t>
            </w:r>
            <w:r>
              <w:rPr>
                <w:sz w:val="18"/>
                <w:szCs w:val="18"/>
              </w:rPr>
              <w:t>A terminology service providing controlled vocabularies for research communities.</w:t>
            </w:r>
          </w:p>
          <w:p w14:paraId="00000295" w14:textId="77777777" w:rsidR="00031725" w:rsidRDefault="00000000" w:rsidP="00555B08">
            <w:pPr>
              <w:spacing w:before="80" w:after="0"/>
              <w:rPr>
                <w:sz w:val="18"/>
                <w:szCs w:val="18"/>
              </w:rPr>
            </w:pPr>
            <w:r>
              <w:rPr>
                <w:b/>
                <w:bCs/>
                <w:sz w:val="18"/>
                <w:szCs w:val="18"/>
              </w:rPr>
              <w:t xml:space="preserve">OntoPortal instances. </w:t>
            </w:r>
            <w:r>
              <w:rPr>
                <w:sz w:val="18"/>
                <w:szCs w:val="18"/>
              </w:rPr>
              <w:t xml:space="preserve">Including </w:t>
            </w:r>
            <w:hyperlink r:id="rId37">
              <w:r w:rsidR="00031725">
                <w:rPr>
                  <w:color w:val="1155CC"/>
                  <w:sz w:val="18"/>
                  <w:szCs w:val="18"/>
                  <w:u w:val="single"/>
                </w:rPr>
                <w:t>BioPortal</w:t>
              </w:r>
            </w:hyperlink>
            <w:r>
              <w:rPr>
                <w:sz w:val="18"/>
                <w:szCs w:val="18"/>
                <w:vertAlign w:val="superscript"/>
              </w:rPr>
              <w:footnoteReference w:id="24"/>
            </w:r>
            <w:r>
              <w:rPr>
                <w:sz w:val="18"/>
                <w:szCs w:val="18"/>
              </w:rPr>
              <w:t xml:space="preserve"> and </w:t>
            </w:r>
            <w:hyperlink r:id="rId38">
              <w:r w:rsidR="00031725">
                <w:rPr>
                  <w:color w:val="1155CC"/>
                  <w:sz w:val="18"/>
                  <w:szCs w:val="18"/>
                  <w:u w:val="single"/>
                </w:rPr>
                <w:t>AgroPortal</w:t>
              </w:r>
            </w:hyperlink>
            <w:r>
              <w:rPr>
                <w:sz w:val="18"/>
                <w:szCs w:val="18"/>
              </w:rPr>
              <w:t>;</w:t>
            </w:r>
            <w:r>
              <w:rPr>
                <w:sz w:val="18"/>
                <w:szCs w:val="18"/>
                <w:vertAlign w:val="superscript"/>
              </w:rPr>
              <w:footnoteReference w:id="25"/>
            </w:r>
            <w:r>
              <w:rPr>
                <w:sz w:val="18"/>
                <w:szCs w:val="18"/>
              </w:rPr>
              <w:t xml:space="preserve"> domain-specific ontology repositories.</w:t>
            </w:r>
          </w:p>
          <w:p w14:paraId="00000296" w14:textId="77777777" w:rsidR="00031725" w:rsidRDefault="00031725" w:rsidP="00555B08">
            <w:pPr>
              <w:spacing w:before="80" w:after="0"/>
              <w:rPr>
                <w:sz w:val="18"/>
                <w:szCs w:val="18"/>
              </w:rPr>
            </w:pPr>
            <w:hyperlink r:id="rId39">
              <w:r>
                <w:rPr>
                  <w:b/>
                  <w:bCs/>
                  <w:color w:val="1155CC"/>
                  <w:sz w:val="18"/>
                  <w:szCs w:val="18"/>
                  <w:u w:val="single"/>
                </w:rPr>
                <w:t>Global Indigenous Data Alliance (GIDA)</w:t>
              </w:r>
            </w:hyperlink>
            <w:r>
              <w:rPr>
                <w:b/>
                <w:bCs/>
                <w:sz w:val="18"/>
                <w:szCs w:val="18"/>
              </w:rPr>
              <w:t>.</w:t>
            </w:r>
            <w:r>
              <w:rPr>
                <w:b/>
                <w:bCs/>
                <w:sz w:val="18"/>
                <w:szCs w:val="18"/>
                <w:vertAlign w:val="superscript"/>
              </w:rPr>
              <w:footnoteReference w:id="26"/>
            </w:r>
            <w:r>
              <w:rPr>
                <w:b/>
                <w:bCs/>
                <w:sz w:val="18"/>
                <w:szCs w:val="18"/>
              </w:rPr>
              <w:t xml:space="preserve"> </w:t>
            </w:r>
            <w:r>
              <w:rPr>
                <w:sz w:val="18"/>
                <w:szCs w:val="18"/>
              </w:rPr>
              <w:t>Community standards with explicit CARE guidance for Indigenous data.</w:t>
            </w:r>
          </w:p>
          <w:p w14:paraId="00000297" w14:textId="77777777" w:rsidR="00031725" w:rsidRDefault="00031725" w:rsidP="00555B08">
            <w:pPr>
              <w:spacing w:before="80" w:after="0"/>
              <w:rPr>
                <w:sz w:val="18"/>
                <w:szCs w:val="18"/>
              </w:rPr>
            </w:pPr>
            <w:hyperlink r:id="rId40">
              <w:r>
                <w:rPr>
                  <w:b/>
                  <w:bCs/>
                  <w:color w:val="1155CC"/>
                  <w:sz w:val="18"/>
                  <w:szCs w:val="18"/>
                  <w:u w:val="single"/>
                </w:rPr>
                <w:t>RDA kernel metadata recommendations</w:t>
              </w:r>
            </w:hyperlink>
            <w:r>
              <w:rPr>
                <w:b/>
                <w:bCs/>
                <w:sz w:val="18"/>
                <w:szCs w:val="18"/>
              </w:rPr>
              <w:t>.</w:t>
            </w:r>
            <w:r>
              <w:rPr>
                <w:b/>
                <w:bCs/>
                <w:sz w:val="18"/>
                <w:szCs w:val="18"/>
                <w:vertAlign w:val="superscript"/>
              </w:rPr>
              <w:footnoteReference w:id="27"/>
            </w:r>
            <w:r>
              <w:rPr>
                <w:b/>
                <w:bCs/>
                <w:sz w:val="18"/>
                <w:szCs w:val="18"/>
              </w:rPr>
              <w:t xml:space="preserve"> </w:t>
            </w:r>
            <w:r>
              <w:rPr>
                <w:sz w:val="18"/>
                <w:szCs w:val="18"/>
              </w:rPr>
              <w:t>Define essential domain-agnostic metadata fields.</w:t>
            </w:r>
          </w:p>
          <w:p w14:paraId="00000298" w14:textId="77777777" w:rsidR="00031725" w:rsidRDefault="00031725" w:rsidP="00555B08">
            <w:pPr>
              <w:spacing w:before="80" w:after="0"/>
              <w:rPr>
                <w:sz w:val="18"/>
                <w:szCs w:val="18"/>
              </w:rPr>
            </w:pPr>
            <w:hyperlink r:id="rId41">
              <w:r>
                <w:rPr>
                  <w:b/>
                  <w:bCs/>
                  <w:color w:val="1155CC"/>
                  <w:sz w:val="18"/>
                  <w:szCs w:val="18"/>
                  <w:u w:val="single"/>
                </w:rPr>
                <w:t>FAIR2 metadata specification</w:t>
              </w:r>
            </w:hyperlink>
            <w:r>
              <w:rPr>
                <w:b/>
                <w:bCs/>
                <w:sz w:val="18"/>
                <w:szCs w:val="18"/>
              </w:rPr>
              <w:t>.</w:t>
            </w:r>
            <w:r>
              <w:rPr>
                <w:b/>
                <w:bCs/>
                <w:sz w:val="18"/>
                <w:szCs w:val="18"/>
                <w:vertAlign w:val="superscript"/>
              </w:rPr>
              <w:footnoteReference w:id="28"/>
            </w:r>
            <w:r>
              <w:rPr>
                <w:b/>
                <w:bCs/>
                <w:sz w:val="18"/>
                <w:szCs w:val="18"/>
              </w:rPr>
              <w:t xml:space="preserve"> </w:t>
            </w:r>
            <w:r>
              <w:rPr>
                <w:sz w:val="18"/>
                <w:szCs w:val="18"/>
              </w:rPr>
              <w:t>A community-driven metadata specification built on MLCommons Croissant, relevant to this requirement.</w:t>
            </w:r>
          </w:p>
        </w:tc>
      </w:tr>
      <w:tr w:rsidR="00031725" w14:paraId="44261250" w14:textId="77777777" w:rsidTr="00555B08">
        <w:trPr>
          <w:trHeight w:val="3705"/>
        </w:trPr>
        <w:tc>
          <w:tcPr>
            <w:tcW w:w="66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99" w14:textId="77777777" w:rsidR="00031725" w:rsidRDefault="00000000" w:rsidP="00555B08">
            <w:pPr>
              <w:spacing w:after="0"/>
              <w:jc w:val="center"/>
              <w:rPr>
                <w:b/>
                <w:bCs/>
                <w:sz w:val="18"/>
                <w:szCs w:val="18"/>
              </w:rPr>
            </w:pPr>
            <w:r>
              <w:rPr>
                <w:b/>
                <w:bCs/>
                <w:sz w:val="18"/>
                <w:szCs w:val="18"/>
              </w:rPr>
              <w:lastRenderedPageBreak/>
              <w:t>R3</w:t>
            </w:r>
          </w:p>
        </w:tc>
        <w:tc>
          <w:tcPr>
            <w:tcW w:w="216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9A" w14:textId="77777777" w:rsidR="00031725" w:rsidRDefault="00000000" w:rsidP="00555B08">
            <w:pPr>
              <w:spacing w:after="60"/>
              <w:rPr>
                <w:b/>
                <w:bCs/>
                <w:sz w:val="18"/>
                <w:szCs w:val="18"/>
              </w:rPr>
            </w:pPr>
            <w:r>
              <w:rPr>
                <w:b/>
                <w:bCs/>
                <w:sz w:val="18"/>
                <w:szCs w:val="18"/>
              </w:rPr>
              <w:t>Suggest appropriate vocabularies, ontologies and open data formats</w:t>
            </w:r>
          </w:p>
        </w:tc>
        <w:tc>
          <w:tcPr>
            <w:tcW w:w="246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9B" w14:textId="77777777" w:rsidR="00031725" w:rsidRDefault="00000000" w:rsidP="00555B08">
            <w:pPr>
              <w:spacing w:after="60"/>
              <w:rPr>
                <w:sz w:val="18"/>
                <w:szCs w:val="18"/>
              </w:rPr>
            </w:pPr>
            <w:r>
              <w:rPr>
                <w:sz w:val="18"/>
                <w:szCs w:val="18"/>
              </w:rPr>
              <w:t>Recommend suitable controlled vocabularies, ontologies and file formats, including field-level formats such as date/time standards, for a given dataset to improve consistency, interoperability and discoverability. Must support emerging standards and new mappings. Must distinguish between ontology alignment and controlled vocabulary concept linkage.</w:t>
            </w:r>
          </w:p>
        </w:tc>
        <w:tc>
          <w:tcPr>
            <w:tcW w:w="147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9C" w14:textId="77777777" w:rsidR="00031725" w:rsidRDefault="00000000" w:rsidP="00555B08">
            <w:pPr>
              <w:spacing w:after="60"/>
              <w:jc w:val="center"/>
              <w:rPr>
                <w:b/>
                <w:bCs/>
                <w:sz w:val="18"/>
                <w:szCs w:val="18"/>
              </w:rPr>
            </w:pPr>
            <w:r>
              <w:rPr>
                <w:b/>
                <w:bCs/>
                <w:sz w:val="18"/>
                <w:szCs w:val="18"/>
              </w:rPr>
              <w:t>MUST</w:t>
            </w:r>
          </w:p>
        </w:tc>
        <w:tc>
          <w:tcPr>
            <w:tcW w:w="2265" w:type="dxa"/>
            <w:tcBorders>
              <w:top w:val="single" w:sz="5" w:space="0" w:color="005B52"/>
              <w:left w:val="single" w:sz="5" w:space="0" w:color="005B52"/>
              <w:bottom w:val="single" w:sz="5" w:space="0" w:color="000000"/>
              <w:right w:val="single" w:sz="5" w:space="0" w:color="005B52"/>
            </w:tcBorders>
            <w:shd w:val="clear" w:color="auto" w:fill="FFFFFF"/>
            <w:tcMar>
              <w:top w:w="80" w:type="dxa"/>
              <w:left w:w="120" w:type="dxa"/>
              <w:bottom w:w="80" w:type="dxa"/>
              <w:right w:w="120" w:type="dxa"/>
            </w:tcMar>
          </w:tcPr>
          <w:p w14:paraId="0000029D" w14:textId="77777777" w:rsidR="00031725" w:rsidRDefault="00031725" w:rsidP="00555B08">
            <w:pPr>
              <w:spacing w:after="0"/>
              <w:rPr>
                <w:sz w:val="18"/>
                <w:szCs w:val="18"/>
              </w:rPr>
            </w:pPr>
            <w:hyperlink r:id="rId42">
              <w:r>
                <w:rPr>
                  <w:b/>
                  <w:bCs/>
                  <w:color w:val="1155CC"/>
                  <w:sz w:val="18"/>
                  <w:szCs w:val="18"/>
                  <w:u w:val="single"/>
                </w:rPr>
                <w:t>FAIRsharing</w:t>
              </w:r>
            </w:hyperlink>
            <w:r>
              <w:rPr>
                <w:sz w:val="18"/>
                <w:szCs w:val="18"/>
              </w:rPr>
              <w:t>. Covers terminologies, formats, identifier schemas and reporting guidelines across disciplines; see R1 for MCP integration note.</w:t>
            </w:r>
          </w:p>
        </w:tc>
      </w:tr>
      <w:tr w:rsidR="00031725" w14:paraId="117F1C98" w14:textId="77777777" w:rsidTr="00555B08">
        <w:trPr>
          <w:trHeight w:val="3877"/>
        </w:trPr>
        <w:tc>
          <w:tcPr>
            <w:tcW w:w="660" w:type="dxa"/>
            <w:tcBorders>
              <w:top w:val="single" w:sz="5" w:space="0" w:color="005B52"/>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29E" w14:textId="77777777" w:rsidR="00031725" w:rsidRDefault="00000000" w:rsidP="00555B08">
            <w:pPr>
              <w:spacing w:after="0"/>
              <w:jc w:val="center"/>
              <w:rPr>
                <w:b/>
                <w:bCs/>
                <w:sz w:val="18"/>
                <w:szCs w:val="18"/>
              </w:rPr>
            </w:pPr>
            <w:r>
              <w:rPr>
                <w:b/>
                <w:bCs/>
                <w:sz w:val="18"/>
                <w:szCs w:val="18"/>
              </w:rPr>
              <w:t>R4</w:t>
            </w:r>
          </w:p>
        </w:tc>
        <w:tc>
          <w:tcPr>
            <w:tcW w:w="2160" w:type="dxa"/>
            <w:tcBorders>
              <w:top w:val="single" w:sz="5" w:space="0" w:color="005B52"/>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29F" w14:textId="77777777" w:rsidR="00031725" w:rsidRDefault="00000000" w:rsidP="00555B08">
            <w:pPr>
              <w:spacing w:after="60"/>
              <w:rPr>
                <w:b/>
                <w:bCs/>
                <w:sz w:val="18"/>
                <w:szCs w:val="18"/>
              </w:rPr>
            </w:pPr>
            <w:r>
              <w:rPr>
                <w:b/>
                <w:bCs/>
                <w:sz w:val="18"/>
                <w:szCs w:val="18"/>
              </w:rPr>
              <w:t>Validate metadata quality and produce standardised records assessed against community best practices, recommendations and standards</w:t>
            </w:r>
          </w:p>
        </w:tc>
        <w:tc>
          <w:tcPr>
            <w:tcW w:w="2460" w:type="dxa"/>
            <w:tcBorders>
              <w:top w:val="single" w:sz="5" w:space="0" w:color="005B52"/>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2A0" w14:textId="33FEB53F" w:rsidR="00031725" w:rsidRDefault="00000000" w:rsidP="00555B08">
            <w:pPr>
              <w:spacing w:after="60"/>
              <w:rPr>
                <w:sz w:val="18"/>
                <w:szCs w:val="18"/>
              </w:rPr>
            </w:pPr>
            <w:r>
              <w:rPr>
                <w:sz w:val="18"/>
                <w:szCs w:val="18"/>
              </w:rPr>
              <w:t>Check metadata completeness and correctness against defined schemas. The tool should connect to repository-provided validation tools where available, and to community validation tools where repository-specific tools do not exist. It does not replicate full FAIRness evaluation</w:t>
            </w:r>
            <w:r w:rsidR="00D60B9D">
              <w:rPr>
                <w:sz w:val="18"/>
                <w:szCs w:val="18"/>
              </w:rPr>
              <w:t xml:space="preserve">. </w:t>
            </w:r>
            <w:r>
              <w:rPr>
                <w:sz w:val="18"/>
                <w:szCs w:val="18"/>
              </w:rPr>
              <w:t>Metadata validation outputs must be traceable through the provenance chain (see R10).</w:t>
            </w:r>
          </w:p>
        </w:tc>
        <w:tc>
          <w:tcPr>
            <w:tcW w:w="1470" w:type="dxa"/>
            <w:tcBorders>
              <w:top w:val="single" w:sz="5" w:space="0" w:color="005B52"/>
              <w:left w:val="single" w:sz="5" w:space="0" w:color="005B52"/>
              <w:bottom w:val="single" w:sz="5" w:space="0" w:color="005B52"/>
              <w:right w:val="single" w:sz="5" w:space="0" w:color="000000"/>
            </w:tcBorders>
            <w:shd w:val="clear" w:color="auto" w:fill="EDF7F5"/>
            <w:tcMar>
              <w:top w:w="80" w:type="dxa"/>
              <w:left w:w="120" w:type="dxa"/>
              <w:bottom w:w="80" w:type="dxa"/>
              <w:right w:w="120" w:type="dxa"/>
            </w:tcMar>
          </w:tcPr>
          <w:p w14:paraId="000002A1" w14:textId="77777777" w:rsidR="00031725" w:rsidRDefault="00000000" w:rsidP="00555B08">
            <w:pPr>
              <w:spacing w:after="60"/>
              <w:jc w:val="center"/>
              <w:rPr>
                <w:b/>
                <w:bCs/>
                <w:sz w:val="18"/>
                <w:szCs w:val="18"/>
              </w:rPr>
            </w:pPr>
            <w:r>
              <w:rPr>
                <w:b/>
                <w:bCs/>
                <w:sz w:val="18"/>
                <w:szCs w:val="18"/>
              </w:rPr>
              <w:t>MUST</w:t>
            </w:r>
          </w:p>
        </w:tc>
        <w:tc>
          <w:tcPr>
            <w:tcW w:w="2265" w:type="dxa"/>
            <w:tcBorders>
              <w:top w:val="single" w:sz="5" w:space="0" w:color="000000"/>
              <w:left w:val="single" w:sz="5" w:space="0" w:color="000000"/>
              <w:bottom w:val="single" w:sz="5" w:space="0" w:color="000000"/>
              <w:right w:val="single" w:sz="5" w:space="0" w:color="000000"/>
            </w:tcBorders>
            <w:shd w:val="clear" w:color="auto" w:fill="EDF7F5"/>
            <w:tcMar>
              <w:top w:w="80" w:type="dxa"/>
              <w:left w:w="120" w:type="dxa"/>
              <w:bottom w:w="80" w:type="dxa"/>
              <w:right w:w="120" w:type="dxa"/>
            </w:tcMar>
          </w:tcPr>
          <w:p w14:paraId="000002A2" w14:textId="77777777" w:rsidR="00031725" w:rsidRDefault="00031725" w:rsidP="00555B08">
            <w:pPr>
              <w:spacing w:after="0"/>
              <w:rPr>
                <w:sz w:val="18"/>
                <w:szCs w:val="18"/>
              </w:rPr>
            </w:pPr>
            <w:hyperlink r:id="rId43">
              <w:r>
                <w:rPr>
                  <w:b/>
                  <w:bCs/>
                  <w:color w:val="1155CC"/>
                  <w:sz w:val="18"/>
                  <w:szCs w:val="18"/>
                  <w:u w:val="single"/>
                </w:rPr>
                <w:t>RO-Crate validator</w:t>
              </w:r>
            </w:hyperlink>
            <w:r>
              <w:rPr>
                <w:sz w:val="18"/>
                <w:szCs w:val="18"/>
              </w:rPr>
              <w:t>,</w:t>
            </w:r>
            <w:r>
              <w:rPr>
                <w:b/>
                <w:bCs/>
                <w:sz w:val="18"/>
                <w:szCs w:val="18"/>
                <w:vertAlign w:val="superscript"/>
              </w:rPr>
              <w:footnoteReference w:id="29"/>
            </w:r>
            <w:r>
              <w:rPr>
                <w:b/>
                <w:bCs/>
                <w:sz w:val="18"/>
                <w:szCs w:val="18"/>
              </w:rPr>
              <w:t xml:space="preserve"> </w:t>
            </w:r>
            <w:hyperlink r:id="rId44">
              <w:r>
                <w:rPr>
                  <w:b/>
                  <w:bCs/>
                  <w:color w:val="1155CC"/>
                  <w:sz w:val="18"/>
                  <w:szCs w:val="18"/>
                  <w:u w:val="single"/>
                </w:rPr>
                <w:t>Frictionless Data</w:t>
              </w:r>
            </w:hyperlink>
            <w:r>
              <w:rPr>
                <w:sz w:val="18"/>
                <w:szCs w:val="18"/>
              </w:rPr>
              <w:t>,</w:t>
            </w:r>
            <w:r>
              <w:rPr>
                <w:b/>
                <w:bCs/>
                <w:sz w:val="18"/>
                <w:szCs w:val="18"/>
                <w:vertAlign w:val="superscript"/>
              </w:rPr>
              <w:footnoteReference w:id="30"/>
            </w:r>
            <w:r>
              <w:rPr>
                <w:b/>
                <w:bCs/>
                <w:sz w:val="18"/>
                <w:szCs w:val="18"/>
              </w:rPr>
              <w:t xml:space="preserve"> </w:t>
            </w:r>
            <w:hyperlink r:id="rId45">
              <w:r>
                <w:rPr>
                  <w:b/>
                  <w:bCs/>
                  <w:color w:val="1155CC"/>
                  <w:sz w:val="18"/>
                  <w:szCs w:val="18"/>
                  <w:u w:val="single"/>
                </w:rPr>
                <w:t>JSON Schema</w:t>
              </w:r>
            </w:hyperlink>
            <w:r>
              <w:rPr>
                <w:sz w:val="18"/>
                <w:szCs w:val="18"/>
              </w:rPr>
              <w:t>,</w:t>
            </w:r>
            <w:r>
              <w:rPr>
                <w:b/>
                <w:bCs/>
                <w:sz w:val="18"/>
                <w:szCs w:val="18"/>
                <w:vertAlign w:val="superscript"/>
              </w:rPr>
              <w:footnoteReference w:id="31"/>
            </w:r>
            <w:r>
              <w:rPr>
                <w:b/>
                <w:bCs/>
                <w:sz w:val="18"/>
                <w:szCs w:val="18"/>
              </w:rPr>
              <w:t xml:space="preserve"> </w:t>
            </w:r>
            <w:hyperlink r:id="rId46">
              <w:r>
                <w:rPr>
                  <w:b/>
                  <w:bCs/>
                  <w:color w:val="1155CC"/>
                  <w:sz w:val="18"/>
                  <w:szCs w:val="18"/>
                  <w:u w:val="single"/>
                </w:rPr>
                <w:t>XSD</w:t>
              </w:r>
            </w:hyperlink>
            <w:r>
              <w:rPr>
                <w:sz w:val="18"/>
                <w:szCs w:val="18"/>
              </w:rPr>
              <w:t>,</w:t>
            </w:r>
            <w:r>
              <w:rPr>
                <w:b/>
                <w:bCs/>
                <w:sz w:val="18"/>
                <w:szCs w:val="18"/>
                <w:vertAlign w:val="superscript"/>
              </w:rPr>
              <w:footnoteReference w:id="32"/>
            </w:r>
            <w:r>
              <w:rPr>
                <w:b/>
                <w:bCs/>
                <w:sz w:val="18"/>
                <w:szCs w:val="18"/>
              </w:rPr>
              <w:t xml:space="preserve"> </w:t>
            </w:r>
            <w:hyperlink r:id="rId47">
              <w:r>
                <w:rPr>
                  <w:b/>
                  <w:bCs/>
                  <w:color w:val="1155CC"/>
                  <w:sz w:val="18"/>
                  <w:szCs w:val="18"/>
                  <w:u w:val="single"/>
                </w:rPr>
                <w:t>SHACL</w:t>
              </w:r>
            </w:hyperlink>
            <w:r>
              <w:rPr>
                <w:b/>
                <w:bCs/>
                <w:sz w:val="18"/>
                <w:szCs w:val="18"/>
              </w:rPr>
              <w:t>,</w:t>
            </w:r>
            <w:r>
              <w:rPr>
                <w:b/>
                <w:bCs/>
                <w:sz w:val="18"/>
                <w:szCs w:val="18"/>
                <w:vertAlign w:val="superscript"/>
              </w:rPr>
              <w:footnoteReference w:id="33"/>
            </w:r>
            <w:r>
              <w:rPr>
                <w:b/>
                <w:bCs/>
                <w:sz w:val="18"/>
                <w:szCs w:val="18"/>
              </w:rPr>
              <w:t xml:space="preserve"> </w:t>
            </w:r>
            <w:hyperlink r:id="rId48">
              <w:r>
                <w:rPr>
                  <w:b/>
                  <w:bCs/>
                  <w:color w:val="1155CC"/>
                  <w:sz w:val="18"/>
                  <w:szCs w:val="18"/>
                  <w:u w:val="single"/>
                </w:rPr>
                <w:t>Croissant Validator.</w:t>
              </w:r>
            </w:hyperlink>
            <w:r>
              <w:rPr>
                <w:b/>
                <w:bCs/>
                <w:sz w:val="18"/>
                <w:szCs w:val="18"/>
                <w:vertAlign w:val="superscript"/>
              </w:rPr>
              <w:footnoteReference w:id="34"/>
            </w:r>
            <w:r>
              <w:rPr>
                <w:b/>
                <w:bCs/>
                <w:sz w:val="18"/>
                <w:szCs w:val="18"/>
              </w:rPr>
              <w:t xml:space="preserve"> </w:t>
            </w:r>
            <w:r>
              <w:rPr>
                <w:sz w:val="18"/>
                <w:szCs w:val="18"/>
              </w:rPr>
              <w:t>Schema validation tools applicable to this requirement.</w:t>
            </w:r>
          </w:p>
          <w:p w14:paraId="000002A3" w14:textId="77777777" w:rsidR="00031725" w:rsidRDefault="00031725" w:rsidP="00555B08">
            <w:pPr>
              <w:spacing w:before="80" w:after="0"/>
              <w:rPr>
                <w:sz w:val="18"/>
                <w:szCs w:val="18"/>
              </w:rPr>
            </w:pPr>
            <w:hyperlink r:id="rId49">
              <w:r>
                <w:rPr>
                  <w:b/>
                  <w:bCs/>
                  <w:color w:val="1155CC"/>
                  <w:sz w:val="18"/>
                  <w:szCs w:val="18"/>
                  <w:u w:val="single"/>
                </w:rPr>
                <w:t>CEDAR Workbench</w:t>
              </w:r>
            </w:hyperlink>
            <w:r>
              <w:rPr>
                <w:sz w:val="18"/>
                <w:szCs w:val="18"/>
              </w:rPr>
              <w:t>,</w:t>
            </w:r>
            <w:r>
              <w:rPr>
                <w:sz w:val="18"/>
                <w:szCs w:val="18"/>
                <w:vertAlign w:val="superscript"/>
              </w:rPr>
              <w:footnoteReference w:id="35"/>
            </w:r>
            <w:r>
              <w:rPr>
                <w:sz w:val="18"/>
                <w:szCs w:val="18"/>
              </w:rPr>
              <w:t xml:space="preserve"> </w:t>
            </w:r>
            <w:hyperlink r:id="rId50">
              <w:r>
                <w:rPr>
                  <w:b/>
                  <w:bCs/>
                  <w:color w:val="1155CC"/>
                  <w:sz w:val="18"/>
                  <w:szCs w:val="18"/>
                  <w:u w:val="single"/>
                </w:rPr>
                <w:t>OntoPortal</w:t>
              </w:r>
            </w:hyperlink>
            <w:r>
              <w:rPr>
                <w:b/>
                <w:bCs/>
                <w:sz w:val="18"/>
                <w:szCs w:val="18"/>
              </w:rPr>
              <w:t>/</w:t>
            </w:r>
            <w:hyperlink r:id="rId51">
              <w:r>
                <w:rPr>
                  <w:b/>
                  <w:bCs/>
                  <w:color w:val="1155CC"/>
                  <w:sz w:val="18"/>
                  <w:szCs w:val="18"/>
                  <w:u w:val="single"/>
                </w:rPr>
                <w:t>BioPortal</w:t>
              </w:r>
            </w:hyperlink>
            <w:r>
              <w:rPr>
                <w:sz w:val="18"/>
                <w:szCs w:val="18"/>
              </w:rPr>
              <w:t>,</w:t>
            </w:r>
            <w:r>
              <w:rPr>
                <w:sz w:val="18"/>
                <w:szCs w:val="18"/>
                <w:vertAlign w:val="superscript"/>
              </w:rPr>
              <w:footnoteReference w:id="36"/>
            </w:r>
            <w:r>
              <w:rPr>
                <w:sz w:val="18"/>
                <w:szCs w:val="18"/>
              </w:rPr>
              <w:t xml:space="preserve"> </w:t>
            </w:r>
            <w:hyperlink r:id="rId52">
              <w:r>
                <w:rPr>
                  <w:b/>
                  <w:bCs/>
                  <w:color w:val="1155CC"/>
                  <w:sz w:val="18"/>
                  <w:szCs w:val="18"/>
                  <w:u w:val="single"/>
                </w:rPr>
                <w:t>Skosmos</w:t>
              </w:r>
            </w:hyperlink>
            <w:r>
              <w:rPr>
                <w:b/>
                <w:bCs/>
                <w:sz w:val="18"/>
                <w:szCs w:val="18"/>
              </w:rPr>
              <w:t>,</w:t>
            </w:r>
            <w:r>
              <w:rPr>
                <w:sz w:val="18"/>
                <w:szCs w:val="18"/>
                <w:vertAlign w:val="superscript"/>
              </w:rPr>
              <w:footnoteReference w:id="37"/>
            </w:r>
            <w:r>
              <w:rPr>
                <w:b/>
                <w:bCs/>
                <w:sz w:val="18"/>
                <w:szCs w:val="18"/>
              </w:rPr>
              <w:t xml:space="preserve"> </w:t>
            </w:r>
            <w:hyperlink r:id="rId53">
              <w:r>
                <w:rPr>
                  <w:b/>
                  <w:bCs/>
                  <w:color w:val="1155CC"/>
                  <w:sz w:val="18"/>
                  <w:szCs w:val="18"/>
                  <w:u w:val="single"/>
                </w:rPr>
                <w:t>OLS</w:t>
              </w:r>
            </w:hyperlink>
            <w:r>
              <w:rPr>
                <w:sz w:val="18"/>
                <w:szCs w:val="18"/>
              </w:rPr>
              <w:t xml:space="preserve">, </w:t>
            </w:r>
            <w:hyperlink r:id="rId54">
              <w:r>
                <w:rPr>
                  <w:b/>
                  <w:bCs/>
                  <w:color w:val="1155CC"/>
                  <w:sz w:val="18"/>
                  <w:szCs w:val="18"/>
                  <w:u w:val="single"/>
                </w:rPr>
                <w:t>FOOPS!</w:t>
              </w:r>
            </w:hyperlink>
            <w:r>
              <w:rPr>
                <w:sz w:val="18"/>
                <w:szCs w:val="18"/>
              </w:rPr>
              <w:t>.</w:t>
            </w:r>
            <w:r>
              <w:rPr>
                <w:sz w:val="18"/>
                <w:szCs w:val="18"/>
                <w:vertAlign w:val="superscript"/>
              </w:rPr>
              <w:footnoteReference w:id="38"/>
            </w:r>
            <w:r>
              <w:rPr>
                <w:b/>
                <w:bCs/>
                <w:sz w:val="18"/>
                <w:szCs w:val="18"/>
              </w:rPr>
              <w:t xml:space="preserve"> </w:t>
            </w:r>
            <w:r>
              <w:rPr>
                <w:sz w:val="18"/>
                <w:szCs w:val="18"/>
              </w:rPr>
              <w:t>Ontology and vocabulary validation tools.</w:t>
            </w:r>
          </w:p>
          <w:p w14:paraId="000002A5" w14:textId="1DC583BA" w:rsidR="00031725" w:rsidRDefault="00031725" w:rsidP="00555B08">
            <w:pPr>
              <w:spacing w:before="80" w:after="0"/>
              <w:rPr>
                <w:sz w:val="18"/>
                <w:szCs w:val="18"/>
              </w:rPr>
            </w:pPr>
            <w:hyperlink r:id="rId55">
              <w:r>
                <w:rPr>
                  <w:b/>
                  <w:bCs/>
                  <w:color w:val="1155CC"/>
                  <w:sz w:val="18"/>
                  <w:szCs w:val="18"/>
                  <w:u w:val="single"/>
                </w:rPr>
                <w:t>fairassist.org</w:t>
              </w:r>
            </w:hyperlink>
            <w:r>
              <w:rPr>
                <w:b/>
                <w:bCs/>
                <w:sz w:val="18"/>
                <w:szCs w:val="18"/>
              </w:rPr>
              <w:t>.</w:t>
            </w:r>
            <w:r>
              <w:rPr>
                <w:b/>
                <w:bCs/>
                <w:sz w:val="18"/>
                <w:szCs w:val="18"/>
                <w:vertAlign w:val="superscript"/>
              </w:rPr>
              <w:footnoteReference w:id="39"/>
            </w:r>
            <w:r>
              <w:rPr>
                <w:b/>
                <w:bCs/>
                <w:sz w:val="18"/>
                <w:szCs w:val="18"/>
              </w:rPr>
              <w:t xml:space="preserve"> </w:t>
            </w:r>
            <w:r>
              <w:rPr>
                <w:sz w:val="18"/>
                <w:szCs w:val="18"/>
              </w:rPr>
              <w:t>A full list of community FAIR assessment tools, including those with OSTrails framework integration.</w:t>
            </w:r>
          </w:p>
          <w:p w14:paraId="000002A6" w14:textId="77777777" w:rsidR="00031725" w:rsidRDefault="00031725" w:rsidP="00555B08">
            <w:pPr>
              <w:spacing w:before="40" w:after="40"/>
              <w:rPr>
                <w:sz w:val="18"/>
                <w:szCs w:val="18"/>
              </w:rPr>
            </w:pPr>
            <w:hyperlink r:id="rId56">
              <w:r>
                <w:rPr>
                  <w:b/>
                  <w:bCs/>
                  <w:color w:val="1155CC"/>
                  <w:sz w:val="18"/>
                  <w:szCs w:val="18"/>
                  <w:u w:val="single"/>
                </w:rPr>
                <w:t>MOMSI FAIRsharing collection</w:t>
              </w:r>
            </w:hyperlink>
            <w:r>
              <w:rPr>
                <w:sz w:val="18"/>
                <w:szCs w:val="18"/>
              </w:rPr>
              <w:t>.</w:t>
            </w:r>
            <w:r>
              <w:rPr>
                <w:sz w:val="18"/>
                <w:szCs w:val="18"/>
                <w:vertAlign w:val="superscript"/>
              </w:rPr>
              <w:footnoteReference w:id="40"/>
            </w:r>
            <w:r>
              <w:rPr>
                <w:sz w:val="18"/>
                <w:szCs w:val="18"/>
              </w:rPr>
              <w:t xml:space="preserve"> Cross-domain benchmarking reference covering domain-specific and universal standards, confirmed useful for evaluating R3 and R4: fairsharing.org</w:t>
            </w:r>
          </w:p>
          <w:p w14:paraId="000002A7" w14:textId="77777777" w:rsidR="00031725" w:rsidRDefault="00031725" w:rsidP="00555B08">
            <w:pPr>
              <w:spacing w:before="80" w:after="0"/>
              <w:rPr>
                <w:sz w:val="18"/>
                <w:szCs w:val="18"/>
              </w:rPr>
            </w:pPr>
            <w:hyperlink r:id="rId57">
              <w:r>
                <w:rPr>
                  <w:b/>
                  <w:bCs/>
                  <w:color w:val="1155CC"/>
                  <w:sz w:val="18"/>
                  <w:szCs w:val="18"/>
                  <w:u w:val="single"/>
                </w:rPr>
                <w:t>FAIRshake</w:t>
              </w:r>
            </w:hyperlink>
            <w:r>
              <w:rPr>
                <w:sz w:val="18"/>
                <w:szCs w:val="18"/>
              </w:rPr>
              <w:t>,</w:t>
            </w:r>
            <w:r>
              <w:rPr>
                <w:sz w:val="18"/>
                <w:szCs w:val="18"/>
                <w:vertAlign w:val="superscript"/>
              </w:rPr>
              <w:footnoteReference w:id="41"/>
            </w:r>
            <w:r>
              <w:rPr>
                <w:sz w:val="18"/>
                <w:szCs w:val="18"/>
              </w:rPr>
              <w:t xml:space="preserve"> </w:t>
            </w:r>
            <w:hyperlink r:id="rId58">
              <w:r>
                <w:rPr>
                  <w:b/>
                  <w:bCs/>
                  <w:color w:val="1155CC"/>
                  <w:sz w:val="18"/>
                  <w:szCs w:val="18"/>
                  <w:u w:val="single"/>
                </w:rPr>
                <w:t>F-UJI</w:t>
              </w:r>
            </w:hyperlink>
            <w:r>
              <w:rPr>
                <w:sz w:val="18"/>
                <w:szCs w:val="18"/>
              </w:rPr>
              <w:t>.</w:t>
            </w:r>
            <w:r>
              <w:rPr>
                <w:sz w:val="18"/>
                <w:szCs w:val="18"/>
                <w:vertAlign w:val="superscript"/>
              </w:rPr>
              <w:footnoteReference w:id="42"/>
            </w:r>
            <w:r>
              <w:rPr>
                <w:sz w:val="18"/>
                <w:szCs w:val="18"/>
              </w:rPr>
              <w:t xml:space="preserve"> Metadata quality evaluation tools for assessing AI-generated record quality against curation standards; relevant to C15. </w:t>
            </w:r>
          </w:p>
        </w:tc>
      </w:tr>
      <w:tr w:rsidR="00031725" w14:paraId="5478BA2D" w14:textId="77777777" w:rsidTr="00555B08">
        <w:trPr>
          <w:trHeight w:val="4920"/>
        </w:trPr>
        <w:tc>
          <w:tcPr>
            <w:tcW w:w="66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A8" w14:textId="77777777" w:rsidR="00031725" w:rsidRDefault="00000000" w:rsidP="00555B08">
            <w:pPr>
              <w:spacing w:after="0"/>
              <w:jc w:val="center"/>
              <w:rPr>
                <w:b/>
                <w:bCs/>
                <w:sz w:val="18"/>
                <w:szCs w:val="18"/>
              </w:rPr>
            </w:pPr>
            <w:r>
              <w:rPr>
                <w:b/>
                <w:bCs/>
                <w:sz w:val="18"/>
                <w:szCs w:val="18"/>
              </w:rPr>
              <w:lastRenderedPageBreak/>
              <w:t>R5</w:t>
            </w:r>
          </w:p>
        </w:tc>
        <w:tc>
          <w:tcPr>
            <w:tcW w:w="216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A9" w14:textId="77777777" w:rsidR="00031725" w:rsidRDefault="00000000" w:rsidP="00555B08">
            <w:pPr>
              <w:spacing w:after="60"/>
              <w:rPr>
                <w:b/>
                <w:bCs/>
                <w:sz w:val="18"/>
                <w:szCs w:val="18"/>
              </w:rPr>
            </w:pPr>
            <w:r>
              <w:rPr>
                <w:b/>
                <w:bCs/>
                <w:sz w:val="18"/>
                <w:szCs w:val="18"/>
              </w:rPr>
              <w:t>Draft data documentation including READMEs and data dictionaries at publication</w:t>
            </w:r>
          </w:p>
        </w:tc>
        <w:tc>
          <w:tcPr>
            <w:tcW w:w="246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AA" w14:textId="77777777" w:rsidR="00031725" w:rsidRDefault="00000000" w:rsidP="00555B08">
            <w:pPr>
              <w:spacing w:after="60"/>
              <w:rPr>
                <w:sz w:val="18"/>
                <w:szCs w:val="18"/>
              </w:rPr>
            </w:pPr>
            <w:r>
              <w:rPr>
                <w:sz w:val="18"/>
                <w:szCs w:val="18"/>
              </w:rPr>
              <w:t>Generate a draft of supporting documentation so that others can understand and reuse the data at the point of data publication. The tool can automatically draft elements it can infer from available data and metadata, including file structure, field names, and basic descriptions. Elements that cannot be inferred and require direct researcher input include variable definitions, units, missing value codes, study design details, and data collection procedures. A human-reviewed and approved version must be produced before submission.</w:t>
            </w:r>
          </w:p>
        </w:tc>
        <w:tc>
          <w:tcPr>
            <w:tcW w:w="147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AB" w14:textId="77777777" w:rsidR="00031725" w:rsidRDefault="00000000" w:rsidP="00555B08">
            <w:pPr>
              <w:spacing w:after="60"/>
              <w:jc w:val="center"/>
              <w:rPr>
                <w:b/>
                <w:bCs/>
                <w:sz w:val="18"/>
                <w:szCs w:val="18"/>
              </w:rPr>
            </w:pPr>
            <w:r>
              <w:rPr>
                <w:b/>
                <w:bCs/>
                <w:sz w:val="18"/>
                <w:szCs w:val="18"/>
              </w:rPr>
              <w:t>MUST</w:t>
            </w:r>
          </w:p>
        </w:tc>
        <w:tc>
          <w:tcPr>
            <w:tcW w:w="2265" w:type="dxa"/>
            <w:tcBorders>
              <w:top w:val="single" w:sz="5" w:space="0" w:color="000000"/>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AC" w14:textId="77777777" w:rsidR="00031725" w:rsidRDefault="00000000" w:rsidP="00555B08">
            <w:pPr>
              <w:spacing w:after="0"/>
              <w:rPr>
                <w:sz w:val="18"/>
                <w:szCs w:val="18"/>
              </w:rPr>
            </w:pPr>
            <w:r>
              <w:rPr>
                <w:b/>
                <w:bCs/>
                <w:sz w:val="18"/>
                <w:szCs w:val="18"/>
              </w:rPr>
              <w:t xml:space="preserve">No confirmed existing solution identified at v0.1. </w:t>
            </w:r>
            <w:r>
              <w:rPr>
                <w:sz w:val="18"/>
                <w:szCs w:val="18"/>
              </w:rPr>
              <w:t>Known solutions to be identified through community input.</w:t>
            </w:r>
          </w:p>
        </w:tc>
      </w:tr>
      <w:tr w:rsidR="00031725" w14:paraId="54FB01CC" w14:textId="77777777" w:rsidTr="00555B08">
        <w:trPr>
          <w:trHeight w:val="3285"/>
        </w:trPr>
        <w:tc>
          <w:tcPr>
            <w:tcW w:w="660" w:type="dxa"/>
            <w:tcBorders>
              <w:top w:val="single" w:sz="5" w:space="0" w:color="005B52"/>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2AD" w14:textId="77777777" w:rsidR="00031725" w:rsidRDefault="00000000" w:rsidP="00555B08">
            <w:pPr>
              <w:spacing w:after="0"/>
              <w:jc w:val="center"/>
              <w:rPr>
                <w:b/>
                <w:bCs/>
                <w:sz w:val="18"/>
                <w:szCs w:val="18"/>
              </w:rPr>
            </w:pPr>
            <w:r>
              <w:rPr>
                <w:b/>
                <w:bCs/>
                <w:sz w:val="18"/>
                <w:szCs w:val="18"/>
              </w:rPr>
              <w:lastRenderedPageBreak/>
              <w:t>R6</w:t>
            </w:r>
          </w:p>
        </w:tc>
        <w:tc>
          <w:tcPr>
            <w:tcW w:w="2160" w:type="dxa"/>
            <w:tcBorders>
              <w:top w:val="single" w:sz="5" w:space="0" w:color="005B52"/>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2AE" w14:textId="77777777" w:rsidR="00031725" w:rsidRDefault="00000000" w:rsidP="00555B08">
            <w:pPr>
              <w:spacing w:after="60"/>
              <w:rPr>
                <w:b/>
                <w:bCs/>
                <w:sz w:val="18"/>
                <w:szCs w:val="18"/>
              </w:rPr>
            </w:pPr>
            <w:r>
              <w:rPr>
                <w:b/>
                <w:bCs/>
                <w:sz w:val="18"/>
                <w:szCs w:val="18"/>
              </w:rPr>
              <w:t>Enable interoperable metadata across institutions and Data Director instances</w:t>
            </w:r>
          </w:p>
        </w:tc>
        <w:tc>
          <w:tcPr>
            <w:tcW w:w="2460" w:type="dxa"/>
            <w:tcBorders>
              <w:top w:val="single" w:sz="5" w:space="0" w:color="005B52"/>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2AF" w14:textId="77777777" w:rsidR="00031725" w:rsidRDefault="00000000" w:rsidP="00555B08">
            <w:pPr>
              <w:spacing w:after="60"/>
              <w:rPr>
                <w:sz w:val="18"/>
                <w:szCs w:val="18"/>
              </w:rPr>
            </w:pPr>
            <w:r>
              <w:rPr>
                <w:sz w:val="18"/>
                <w:szCs w:val="18"/>
              </w:rPr>
              <w:t>Reuse existing metadata formats and schemas to reduce data wrangling and enable consistent interpretation across systems and institutions. The tool must support mapping of metadata across multiple schemas so that the same dataset can be described in more than one standard, enabling deposit across different repositories without manual remapping by the researcher. Researchers must be able to view original metadata alongside mapped versions and crosswalks. Synchronisation between Data Director instances must be supported where multiple institutions collaborate.</w:t>
            </w:r>
          </w:p>
        </w:tc>
        <w:tc>
          <w:tcPr>
            <w:tcW w:w="1470" w:type="dxa"/>
            <w:tcBorders>
              <w:top w:val="single" w:sz="5" w:space="0" w:color="005B52"/>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2B0" w14:textId="77777777" w:rsidR="00031725" w:rsidRDefault="00000000" w:rsidP="00555B08">
            <w:pPr>
              <w:spacing w:after="60"/>
              <w:jc w:val="center"/>
              <w:rPr>
                <w:b/>
                <w:bCs/>
                <w:sz w:val="18"/>
                <w:szCs w:val="18"/>
              </w:rPr>
            </w:pPr>
            <w:r>
              <w:rPr>
                <w:b/>
                <w:bCs/>
                <w:sz w:val="18"/>
                <w:szCs w:val="18"/>
              </w:rPr>
              <w:t>MUST</w:t>
            </w:r>
          </w:p>
        </w:tc>
        <w:tc>
          <w:tcPr>
            <w:tcW w:w="2265" w:type="dxa"/>
            <w:tcBorders>
              <w:top w:val="single" w:sz="5" w:space="0" w:color="005B52"/>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2B1" w14:textId="77777777" w:rsidR="00031725" w:rsidRDefault="00031725" w:rsidP="00555B08">
            <w:pPr>
              <w:spacing w:after="0"/>
              <w:rPr>
                <w:sz w:val="18"/>
                <w:szCs w:val="18"/>
              </w:rPr>
            </w:pPr>
            <w:hyperlink r:id="rId59">
              <w:r>
                <w:rPr>
                  <w:b/>
                  <w:bCs/>
                  <w:color w:val="1155CC"/>
                  <w:sz w:val="18"/>
                  <w:szCs w:val="18"/>
                  <w:u w:val="single"/>
                </w:rPr>
                <w:t>FAIR Digital Object (FDO) framework</w:t>
              </w:r>
            </w:hyperlink>
            <w:r>
              <w:rPr>
                <w:sz w:val="18"/>
                <w:szCs w:val="18"/>
              </w:rPr>
              <w:t>.</w:t>
            </w:r>
            <w:r>
              <w:rPr>
                <w:sz w:val="18"/>
                <w:szCs w:val="18"/>
                <w:vertAlign w:val="superscript"/>
              </w:rPr>
              <w:footnoteReference w:id="43"/>
            </w:r>
            <w:r>
              <w:rPr>
                <w:b/>
                <w:bCs/>
                <w:sz w:val="18"/>
                <w:szCs w:val="18"/>
              </w:rPr>
              <w:t xml:space="preserve"> </w:t>
            </w:r>
            <w:r>
              <w:rPr>
                <w:sz w:val="18"/>
                <w:szCs w:val="18"/>
              </w:rPr>
              <w:t>Supports interoperability through typed, validated objects; multiple profiles enable metadata at domain-agnostic, domain-specific and application-specific levels simultaneously.</w:t>
            </w:r>
          </w:p>
          <w:p w14:paraId="000002B2" w14:textId="77777777" w:rsidR="00031725" w:rsidRDefault="00031725" w:rsidP="00555B08">
            <w:pPr>
              <w:spacing w:before="80" w:after="0"/>
              <w:rPr>
                <w:sz w:val="18"/>
                <w:szCs w:val="18"/>
              </w:rPr>
            </w:pPr>
            <w:hyperlink r:id="rId60">
              <w:r>
                <w:rPr>
                  <w:b/>
                  <w:bCs/>
                  <w:color w:val="1155CC"/>
                  <w:sz w:val="18"/>
                  <w:szCs w:val="18"/>
                  <w:u w:val="single"/>
                </w:rPr>
                <w:t>Cross-Domain Interoperability Framework (CDIF)</w:t>
              </w:r>
            </w:hyperlink>
            <w:r>
              <w:rPr>
                <w:sz w:val="18"/>
                <w:szCs w:val="18"/>
              </w:rPr>
              <w:t>.</w:t>
            </w:r>
            <w:r>
              <w:rPr>
                <w:sz w:val="18"/>
                <w:szCs w:val="18"/>
                <w:vertAlign w:val="superscript"/>
              </w:rPr>
              <w:footnoteReference w:id="44"/>
            </w:r>
            <w:r>
              <w:rPr>
                <w:sz w:val="18"/>
                <w:szCs w:val="18"/>
              </w:rPr>
              <w:t xml:space="preserve"> Supports cross-domain metadata mapping.</w:t>
            </w:r>
          </w:p>
        </w:tc>
      </w:tr>
      <w:tr w:rsidR="00031725" w14:paraId="1A326804" w14:textId="77777777" w:rsidTr="00555B08">
        <w:trPr>
          <w:trHeight w:val="1471"/>
        </w:trPr>
        <w:tc>
          <w:tcPr>
            <w:tcW w:w="66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B3" w14:textId="77777777" w:rsidR="00031725" w:rsidRDefault="00000000" w:rsidP="00555B08">
            <w:pPr>
              <w:spacing w:after="0"/>
              <w:jc w:val="center"/>
              <w:rPr>
                <w:b/>
                <w:bCs/>
                <w:sz w:val="18"/>
                <w:szCs w:val="18"/>
              </w:rPr>
            </w:pPr>
            <w:r>
              <w:rPr>
                <w:b/>
                <w:bCs/>
                <w:sz w:val="18"/>
                <w:szCs w:val="18"/>
              </w:rPr>
              <w:t>R7</w:t>
            </w:r>
          </w:p>
        </w:tc>
        <w:tc>
          <w:tcPr>
            <w:tcW w:w="216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B4" w14:textId="77777777" w:rsidR="00031725" w:rsidRDefault="00000000" w:rsidP="00555B08">
            <w:pPr>
              <w:spacing w:after="60"/>
              <w:rPr>
                <w:b/>
                <w:bCs/>
                <w:sz w:val="18"/>
                <w:szCs w:val="18"/>
              </w:rPr>
            </w:pPr>
            <w:r>
              <w:rPr>
                <w:b/>
                <w:bCs/>
                <w:sz w:val="18"/>
                <w:szCs w:val="18"/>
              </w:rPr>
              <w:t>Support assignment of persistent identifiers (PIDs) at point of publication</w:t>
            </w:r>
          </w:p>
        </w:tc>
        <w:tc>
          <w:tcPr>
            <w:tcW w:w="246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B5" w14:textId="77777777" w:rsidR="00031725" w:rsidRDefault="00000000" w:rsidP="00555B08">
            <w:pPr>
              <w:spacing w:after="60"/>
              <w:rPr>
                <w:sz w:val="18"/>
                <w:szCs w:val="18"/>
              </w:rPr>
            </w:pPr>
            <w:r>
              <w:rPr>
                <w:sz w:val="18"/>
                <w:szCs w:val="18"/>
              </w:rPr>
              <w:t xml:space="preserve">The Data Director generates PID-ready metadata and informs users of repository PID capabilities. It does not interact directly with PID registration systems; PID assignment remains the responsibility of the repository. Users must be informed whether the selected repository assigns PIDs, including whether DOIs are minted automatically. Any costs associated with PID assignment must be surfaced to the user and must not be absorbed silently into the application; institutional configuration </w:t>
            </w:r>
            <w:r>
              <w:rPr>
                <w:sz w:val="18"/>
                <w:szCs w:val="18"/>
              </w:rPr>
              <w:lastRenderedPageBreak/>
              <w:t>must determine how such costs are handled.</w:t>
            </w:r>
          </w:p>
        </w:tc>
        <w:tc>
          <w:tcPr>
            <w:tcW w:w="147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B6" w14:textId="77777777" w:rsidR="00031725" w:rsidRDefault="00000000" w:rsidP="00555B08">
            <w:pPr>
              <w:spacing w:after="60"/>
              <w:jc w:val="center"/>
              <w:rPr>
                <w:b/>
                <w:bCs/>
                <w:sz w:val="18"/>
                <w:szCs w:val="18"/>
              </w:rPr>
            </w:pPr>
            <w:r>
              <w:rPr>
                <w:b/>
                <w:bCs/>
                <w:sz w:val="18"/>
                <w:szCs w:val="18"/>
              </w:rPr>
              <w:lastRenderedPageBreak/>
              <w:t>MUST</w:t>
            </w:r>
          </w:p>
        </w:tc>
        <w:tc>
          <w:tcPr>
            <w:tcW w:w="226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B7" w14:textId="77777777" w:rsidR="00031725" w:rsidRDefault="00031725" w:rsidP="00555B08">
            <w:pPr>
              <w:spacing w:after="0"/>
              <w:rPr>
                <w:sz w:val="18"/>
                <w:szCs w:val="18"/>
              </w:rPr>
            </w:pPr>
            <w:hyperlink r:id="rId61">
              <w:r>
                <w:rPr>
                  <w:b/>
                  <w:bCs/>
                  <w:color w:val="1155CC"/>
                  <w:sz w:val="18"/>
                  <w:szCs w:val="18"/>
                  <w:u w:val="single"/>
                </w:rPr>
                <w:t>DataCite</w:t>
              </w:r>
            </w:hyperlink>
            <w:r>
              <w:rPr>
                <w:sz w:val="18"/>
                <w:szCs w:val="18"/>
              </w:rPr>
              <w:t>.</w:t>
            </w:r>
            <w:r>
              <w:rPr>
                <w:sz w:val="18"/>
                <w:szCs w:val="18"/>
                <w:vertAlign w:val="superscript"/>
              </w:rPr>
              <w:footnoteReference w:id="45"/>
            </w:r>
            <w:r>
              <w:rPr>
                <w:sz w:val="18"/>
                <w:szCs w:val="18"/>
              </w:rPr>
              <w:t xml:space="preserve"> Provides the primary membership model for institutional DOI minting for deposited datasets; the Data Director should surface whether a selected repository holds DataCite membership.</w:t>
            </w:r>
          </w:p>
          <w:p w14:paraId="000002B8" w14:textId="77777777" w:rsidR="00031725" w:rsidRDefault="00031725" w:rsidP="00555B08">
            <w:pPr>
              <w:spacing w:before="80" w:after="0"/>
              <w:rPr>
                <w:sz w:val="18"/>
                <w:szCs w:val="18"/>
              </w:rPr>
            </w:pPr>
            <w:hyperlink r:id="rId62">
              <w:r>
                <w:rPr>
                  <w:b/>
                  <w:bCs/>
                  <w:color w:val="1155CC"/>
                  <w:sz w:val="18"/>
                  <w:szCs w:val="18"/>
                  <w:u w:val="single"/>
                </w:rPr>
                <w:t>FAIRsharing identifier schema catalogue</w:t>
              </w:r>
            </w:hyperlink>
            <w:r>
              <w:rPr>
                <w:b/>
                <w:bCs/>
                <w:sz w:val="18"/>
                <w:szCs w:val="18"/>
              </w:rPr>
              <w:t>.</w:t>
            </w:r>
            <w:r>
              <w:rPr>
                <w:sz w:val="18"/>
                <w:szCs w:val="18"/>
                <w:vertAlign w:val="superscript"/>
              </w:rPr>
              <w:footnoteReference w:id="46"/>
            </w:r>
            <w:r>
              <w:rPr>
                <w:sz w:val="18"/>
                <w:szCs w:val="18"/>
              </w:rPr>
              <w:t xml:space="preserve"> Maintains curated records describing identifier schemas and their persistence, resolvability, and global uniqueness characteristics, enabling repositories and applications to assess </w:t>
            </w:r>
            <w:r>
              <w:rPr>
                <w:sz w:val="18"/>
                <w:szCs w:val="18"/>
              </w:rPr>
              <w:lastRenderedPageBreak/>
              <w:t xml:space="preserve">the suitability of identifier systems against </w:t>
            </w:r>
            <w:hyperlink r:id="rId63">
              <w:r>
                <w:rPr>
                  <w:color w:val="1155CC"/>
                  <w:sz w:val="18"/>
                  <w:szCs w:val="18"/>
                  <w:u w:val="single"/>
                </w:rPr>
                <w:t>EOSC PID criteria</w:t>
              </w:r>
            </w:hyperlink>
            <w:r>
              <w:rPr>
                <w:sz w:val="18"/>
                <w:szCs w:val="18"/>
              </w:rPr>
              <w:t>.</w:t>
            </w:r>
            <w:r>
              <w:rPr>
                <w:sz w:val="18"/>
                <w:szCs w:val="18"/>
                <w:vertAlign w:val="superscript"/>
              </w:rPr>
              <w:footnoteReference w:id="47"/>
            </w:r>
            <w:r>
              <w:rPr>
                <w:sz w:val="18"/>
                <w:szCs w:val="18"/>
              </w:rPr>
              <w:t xml:space="preserve"> Records are linked to the repositories that implement each schema.</w:t>
            </w:r>
          </w:p>
        </w:tc>
      </w:tr>
      <w:tr w:rsidR="00031725" w14:paraId="02857583" w14:textId="77777777" w:rsidTr="00555B08">
        <w:trPr>
          <w:trHeight w:val="3675"/>
        </w:trPr>
        <w:tc>
          <w:tcPr>
            <w:tcW w:w="660" w:type="dxa"/>
            <w:tcBorders>
              <w:top w:val="single" w:sz="5" w:space="0" w:color="005B52"/>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2B9" w14:textId="77777777" w:rsidR="00031725" w:rsidRDefault="00000000" w:rsidP="00555B08">
            <w:pPr>
              <w:spacing w:after="0"/>
              <w:jc w:val="center"/>
              <w:rPr>
                <w:b/>
                <w:bCs/>
                <w:sz w:val="18"/>
                <w:szCs w:val="18"/>
              </w:rPr>
            </w:pPr>
            <w:r>
              <w:rPr>
                <w:b/>
                <w:bCs/>
                <w:sz w:val="18"/>
                <w:szCs w:val="18"/>
              </w:rPr>
              <w:lastRenderedPageBreak/>
              <w:t>R8</w:t>
            </w:r>
          </w:p>
        </w:tc>
        <w:tc>
          <w:tcPr>
            <w:tcW w:w="2160" w:type="dxa"/>
            <w:tcBorders>
              <w:top w:val="single" w:sz="5" w:space="0" w:color="005B52"/>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2BA" w14:textId="77777777" w:rsidR="00031725" w:rsidRDefault="00000000" w:rsidP="00555B08">
            <w:pPr>
              <w:spacing w:after="60"/>
              <w:rPr>
                <w:b/>
                <w:bCs/>
                <w:sz w:val="18"/>
                <w:szCs w:val="18"/>
              </w:rPr>
            </w:pPr>
            <w:r>
              <w:rPr>
                <w:b/>
                <w:bCs/>
                <w:sz w:val="18"/>
                <w:szCs w:val="18"/>
              </w:rPr>
              <w:t>Verify data sharing at publication against Data Management Plan (DMP) commitments</w:t>
            </w:r>
          </w:p>
        </w:tc>
        <w:tc>
          <w:tcPr>
            <w:tcW w:w="2460" w:type="dxa"/>
            <w:tcBorders>
              <w:top w:val="single" w:sz="5" w:space="0" w:color="005B52"/>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2BB" w14:textId="77777777" w:rsidR="00031725" w:rsidRDefault="00000000" w:rsidP="00555B08">
            <w:pPr>
              <w:spacing w:after="60"/>
              <w:rPr>
                <w:sz w:val="18"/>
                <w:szCs w:val="18"/>
              </w:rPr>
            </w:pPr>
            <w:r>
              <w:rPr>
                <w:sz w:val="18"/>
                <w:szCs w:val="18"/>
              </w:rPr>
              <w:t xml:space="preserve">At the point of data publication, the Data Director should verify that data sharing aligns with the associated DMP where one exists. Discrepancies must be flagged for human review, not automatically enforced. The system must function without a DMP where one is not available. Embargo status must be confirmed by the responsible human before any sharing workflow proceeds, consistent with Section 5.2. </w:t>
            </w:r>
          </w:p>
          <w:p w14:paraId="000002BC" w14:textId="77777777" w:rsidR="00031725" w:rsidRDefault="00031725" w:rsidP="00555B08">
            <w:pPr>
              <w:spacing w:after="60"/>
              <w:rPr>
                <w:sz w:val="18"/>
                <w:szCs w:val="18"/>
              </w:rPr>
            </w:pPr>
          </w:p>
        </w:tc>
        <w:tc>
          <w:tcPr>
            <w:tcW w:w="1470" w:type="dxa"/>
            <w:tcBorders>
              <w:top w:val="single" w:sz="5" w:space="0" w:color="005B52"/>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2BD" w14:textId="77777777" w:rsidR="00031725" w:rsidRDefault="00000000" w:rsidP="00555B08">
            <w:pPr>
              <w:spacing w:after="60"/>
              <w:jc w:val="center"/>
              <w:rPr>
                <w:b/>
                <w:bCs/>
                <w:sz w:val="18"/>
                <w:szCs w:val="18"/>
              </w:rPr>
            </w:pPr>
            <w:r>
              <w:rPr>
                <w:b/>
                <w:bCs/>
                <w:sz w:val="18"/>
                <w:szCs w:val="18"/>
              </w:rPr>
              <w:t>SHOULD</w:t>
            </w:r>
          </w:p>
          <w:p w14:paraId="000002BE" w14:textId="77777777" w:rsidR="00031725" w:rsidRDefault="00000000" w:rsidP="00555B08">
            <w:pPr>
              <w:spacing w:before="80" w:after="0"/>
              <w:rPr>
                <w:sz w:val="18"/>
                <w:szCs w:val="18"/>
              </w:rPr>
            </w:pPr>
            <w:r>
              <w:rPr>
                <w:sz w:val="18"/>
                <w:szCs w:val="18"/>
              </w:rPr>
              <w:t>Where DMP compliance is an audit requirement, implementers should treat this as MUST.</w:t>
            </w:r>
          </w:p>
        </w:tc>
        <w:tc>
          <w:tcPr>
            <w:tcW w:w="2265" w:type="dxa"/>
            <w:tcBorders>
              <w:top w:val="single" w:sz="5" w:space="0" w:color="005B52"/>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2BF" w14:textId="77777777" w:rsidR="00031725" w:rsidRDefault="00031725" w:rsidP="00555B08">
            <w:pPr>
              <w:spacing w:after="0"/>
              <w:rPr>
                <w:sz w:val="18"/>
                <w:szCs w:val="18"/>
              </w:rPr>
            </w:pPr>
            <w:hyperlink r:id="rId64">
              <w:r>
                <w:rPr>
                  <w:b/>
                  <w:bCs/>
                  <w:color w:val="1155CC"/>
                  <w:sz w:val="18"/>
                  <w:szCs w:val="18"/>
                  <w:u w:val="single"/>
                </w:rPr>
                <w:t>Data Stewardship Wizard (DSW)</w:t>
              </w:r>
            </w:hyperlink>
            <w:r>
              <w:rPr>
                <w:b/>
                <w:bCs/>
                <w:sz w:val="18"/>
                <w:szCs w:val="18"/>
              </w:rPr>
              <w:t>.</w:t>
            </w:r>
            <w:r>
              <w:rPr>
                <w:b/>
                <w:bCs/>
                <w:sz w:val="18"/>
                <w:szCs w:val="18"/>
                <w:vertAlign w:val="superscript"/>
              </w:rPr>
              <w:footnoteReference w:id="48"/>
            </w:r>
            <w:r>
              <w:rPr>
                <w:b/>
                <w:bCs/>
                <w:sz w:val="18"/>
                <w:szCs w:val="18"/>
              </w:rPr>
              <w:t xml:space="preserve"> </w:t>
            </w:r>
            <w:r>
              <w:rPr>
                <w:sz w:val="18"/>
                <w:szCs w:val="18"/>
              </w:rPr>
              <w:t>Exposes DMP commitments in a computationally amenable form; confirmed compatible with the Data Director.</w:t>
            </w:r>
          </w:p>
          <w:p w14:paraId="000002C0" w14:textId="77777777" w:rsidR="00031725" w:rsidRDefault="00031725" w:rsidP="00555B08">
            <w:pPr>
              <w:spacing w:before="80" w:after="0"/>
              <w:rPr>
                <w:sz w:val="18"/>
                <w:szCs w:val="18"/>
              </w:rPr>
            </w:pPr>
            <w:hyperlink r:id="rId65">
              <w:r>
                <w:rPr>
                  <w:b/>
                  <w:bCs/>
                  <w:color w:val="1155CC"/>
                  <w:sz w:val="18"/>
                  <w:szCs w:val="18"/>
                  <w:u w:val="single"/>
                </w:rPr>
                <w:t>Argos</w:t>
              </w:r>
            </w:hyperlink>
            <w:r>
              <w:rPr>
                <w:b/>
                <w:bCs/>
                <w:sz w:val="18"/>
                <w:szCs w:val="18"/>
              </w:rPr>
              <w:t>.</w:t>
            </w:r>
            <w:r>
              <w:rPr>
                <w:b/>
                <w:bCs/>
                <w:sz w:val="18"/>
                <w:szCs w:val="18"/>
                <w:vertAlign w:val="superscript"/>
              </w:rPr>
              <w:footnoteReference w:id="49"/>
            </w:r>
            <w:r>
              <w:rPr>
                <w:b/>
                <w:bCs/>
                <w:sz w:val="18"/>
                <w:szCs w:val="18"/>
              </w:rPr>
              <w:t xml:space="preserve"> </w:t>
            </w:r>
            <w:r>
              <w:rPr>
                <w:sz w:val="18"/>
                <w:szCs w:val="18"/>
              </w:rPr>
              <w:t>DMP tool with machine-readable output; confirmed compatible.</w:t>
            </w:r>
          </w:p>
          <w:p w14:paraId="000002C1" w14:textId="77777777" w:rsidR="00031725" w:rsidRDefault="00031725" w:rsidP="00555B08">
            <w:pPr>
              <w:spacing w:before="80" w:after="0"/>
              <w:rPr>
                <w:sz w:val="18"/>
                <w:szCs w:val="18"/>
              </w:rPr>
            </w:pPr>
            <w:hyperlink r:id="rId66">
              <w:r>
                <w:rPr>
                  <w:b/>
                  <w:bCs/>
                  <w:color w:val="1155CC"/>
                  <w:sz w:val="18"/>
                  <w:szCs w:val="18"/>
                  <w:u w:val="single"/>
                </w:rPr>
                <w:t>DAMAP</w:t>
              </w:r>
            </w:hyperlink>
            <w:r>
              <w:rPr>
                <w:b/>
                <w:bCs/>
                <w:sz w:val="18"/>
                <w:szCs w:val="18"/>
              </w:rPr>
              <w:t>.</w:t>
            </w:r>
            <w:r>
              <w:rPr>
                <w:b/>
                <w:bCs/>
                <w:sz w:val="18"/>
                <w:szCs w:val="18"/>
                <w:vertAlign w:val="superscript"/>
              </w:rPr>
              <w:footnoteReference w:id="50"/>
            </w:r>
            <w:r>
              <w:rPr>
                <w:b/>
                <w:bCs/>
                <w:sz w:val="18"/>
                <w:szCs w:val="18"/>
              </w:rPr>
              <w:t xml:space="preserve"> </w:t>
            </w:r>
            <w:r>
              <w:rPr>
                <w:sz w:val="18"/>
                <w:szCs w:val="18"/>
              </w:rPr>
              <w:t>DMP tool with machine-readable output; confirmed compatible.</w:t>
            </w:r>
          </w:p>
          <w:p w14:paraId="000002C2" w14:textId="329D45CC" w:rsidR="00031725" w:rsidRDefault="00031725" w:rsidP="00555B08">
            <w:pPr>
              <w:spacing w:before="80" w:after="0"/>
              <w:rPr>
                <w:sz w:val="18"/>
                <w:szCs w:val="18"/>
              </w:rPr>
            </w:pPr>
            <w:hyperlink r:id="rId67">
              <w:r>
                <w:rPr>
                  <w:b/>
                  <w:bCs/>
                  <w:color w:val="1155CC"/>
                  <w:sz w:val="18"/>
                  <w:szCs w:val="18"/>
                  <w:u w:val="single"/>
                </w:rPr>
                <w:t>RDA maDMP Working Group</w:t>
              </w:r>
            </w:hyperlink>
            <w:r>
              <w:rPr>
                <w:b/>
                <w:bCs/>
                <w:sz w:val="18"/>
                <w:szCs w:val="18"/>
              </w:rPr>
              <w:t>.</w:t>
            </w:r>
            <w:r>
              <w:rPr>
                <w:b/>
                <w:bCs/>
                <w:sz w:val="18"/>
                <w:szCs w:val="18"/>
                <w:vertAlign w:val="superscript"/>
              </w:rPr>
              <w:footnoteReference w:id="51"/>
            </w:r>
            <w:r>
              <w:rPr>
                <w:b/>
                <w:bCs/>
                <w:sz w:val="18"/>
                <w:szCs w:val="18"/>
              </w:rPr>
              <w:t xml:space="preserve"> </w:t>
            </w:r>
            <w:r>
              <w:rPr>
                <w:sz w:val="18"/>
                <w:szCs w:val="18"/>
              </w:rPr>
              <w:t xml:space="preserve">For a complete list of compatible tools, contact the RDA </w:t>
            </w:r>
            <w:r w:rsidR="003024B5">
              <w:rPr>
                <w:sz w:val="18"/>
                <w:szCs w:val="18"/>
              </w:rPr>
              <w:t xml:space="preserve">Common Application Programming Interface (API) for Machine Actionable Data Management Plans Working Group. </w:t>
            </w:r>
          </w:p>
        </w:tc>
      </w:tr>
      <w:tr w:rsidR="00031725" w14:paraId="116AA6C6" w14:textId="77777777" w:rsidTr="00555B08">
        <w:trPr>
          <w:trHeight w:val="3900"/>
        </w:trPr>
        <w:tc>
          <w:tcPr>
            <w:tcW w:w="66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C3" w14:textId="77777777" w:rsidR="00031725" w:rsidRDefault="00000000" w:rsidP="00555B08">
            <w:pPr>
              <w:spacing w:after="0"/>
              <w:jc w:val="center"/>
              <w:rPr>
                <w:b/>
                <w:bCs/>
                <w:sz w:val="18"/>
                <w:szCs w:val="18"/>
              </w:rPr>
            </w:pPr>
            <w:r>
              <w:rPr>
                <w:b/>
                <w:bCs/>
                <w:sz w:val="18"/>
                <w:szCs w:val="18"/>
              </w:rPr>
              <w:lastRenderedPageBreak/>
              <w:t>R9</w:t>
            </w:r>
          </w:p>
        </w:tc>
        <w:tc>
          <w:tcPr>
            <w:tcW w:w="216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C4" w14:textId="77777777" w:rsidR="00031725" w:rsidRDefault="00000000" w:rsidP="00555B08">
            <w:pPr>
              <w:spacing w:after="60"/>
              <w:rPr>
                <w:b/>
                <w:bCs/>
                <w:sz w:val="18"/>
                <w:szCs w:val="18"/>
              </w:rPr>
            </w:pPr>
            <w:r>
              <w:rPr>
                <w:b/>
                <w:bCs/>
                <w:sz w:val="18"/>
                <w:szCs w:val="18"/>
              </w:rPr>
              <w:t>Retrofit FAIR-aligned metadata for already-published datasets and supplementary materials</w:t>
            </w:r>
          </w:p>
        </w:tc>
        <w:tc>
          <w:tcPr>
            <w:tcW w:w="246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C5" w14:textId="77777777" w:rsidR="00031725" w:rsidRDefault="00000000" w:rsidP="00555B08">
            <w:pPr>
              <w:spacing w:after="60"/>
              <w:rPr>
                <w:sz w:val="18"/>
                <w:szCs w:val="18"/>
              </w:rPr>
            </w:pPr>
            <w:r>
              <w:rPr>
                <w:sz w:val="18"/>
                <w:szCs w:val="18"/>
              </w:rPr>
              <w:t>Generate metadata improvement recommendations for previously published, preliminary, or unpublished datasets to support more discoverable, citable, and reusable outputs. All recommendations are advisory and subject to human review and action before any changes are made. Automated repository updates are not within scope; the researcher or Data Support Professional is responsible for submitting approved recommendations to the relevant repository. Where a dataset lacks a persistent identifier, users should be directed to R7.</w:t>
            </w:r>
          </w:p>
        </w:tc>
        <w:tc>
          <w:tcPr>
            <w:tcW w:w="147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C6" w14:textId="77777777" w:rsidR="00031725" w:rsidRDefault="00000000" w:rsidP="00555B08">
            <w:pPr>
              <w:spacing w:after="60"/>
              <w:jc w:val="center"/>
              <w:rPr>
                <w:b/>
                <w:bCs/>
                <w:sz w:val="18"/>
                <w:szCs w:val="18"/>
              </w:rPr>
            </w:pPr>
            <w:r>
              <w:rPr>
                <w:b/>
                <w:bCs/>
                <w:sz w:val="18"/>
                <w:szCs w:val="18"/>
              </w:rPr>
              <w:t>SHOULD</w:t>
            </w:r>
          </w:p>
        </w:tc>
        <w:tc>
          <w:tcPr>
            <w:tcW w:w="226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C7" w14:textId="77777777" w:rsidR="00031725" w:rsidRDefault="00031725" w:rsidP="00555B08">
            <w:pPr>
              <w:spacing w:after="0"/>
              <w:rPr>
                <w:sz w:val="18"/>
                <w:szCs w:val="18"/>
              </w:rPr>
            </w:pPr>
            <w:hyperlink r:id="rId68">
              <w:r>
                <w:rPr>
                  <w:b/>
                  <w:bCs/>
                  <w:color w:val="1155CC"/>
                  <w:sz w:val="18"/>
                  <w:szCs w:val="18"/>
                  <w:u w:val="single"/>
                </w:rPr>
                <w:t>FAIR Digital Object (FDO) framework</w:t>
              </w:r>
            </w:hyperlink>
            <w:r>
              <w:rPr>
                <w:b/>
                <w:bCs/>
                <w:sz w:val="18"/>
                <w:szCs w:val="18"/>
              </w:rPr>
              <w:t xml:space="preserve">. </w:t>
            </w:r>
            <w:r>
              <w:rPr>
                <w:sz w:val="18"/>
                <w:szCs w:val="18"/>
              </w:rPr>
              <w:t>Enables retrofitting by managing metadata independently of repositories, allowing harmonised metadata across multiple repositories without repository operator involvement.</w:t>
            </w:r>
          </w:p>
          <w:p w14:paraId="000002C8" w14:textId="77777777" w:rsidR="00031725" w:rsidRDefault="00031725" w:rsidP="00555B08">
            <w:pPr>
              <w:spacing w:before="80" w:after="0"/>
              <w:rPr>
                <w:sz w:val="18"/>
                <w:szCs w:val="18"/>
              </w:rPr>
            </w:pPr>
            <w:hyperlink r:id="rId69">
              <w:r>
                <w:rPr>
                  <w:b/>
                  <w:bCs/>
                  <w:color w:val="1155CC"/>
                  <w:sz w:val="18"/>
                  <w:szCs w:val="18"/>
                  <w:u w:val="single"/>
                </w:rPr>
                <w:t>COMET initiative</w:t>
              </w:r>
            </w:hyperlink>
            <w:r>
              <w:rPr>
                <w:b/>
                <w:bCs/>
                <w:sz w:val="18"/>
                <w:szCs w:val="18"/>
              </w:rPr>
              <w:t>.</w:t>
            </w:r>
            <w:r>
              <w:rPr>
                <w:b/>
                <w:bCs/>
                <w:sz w:val="18"/>
                <w:szCs w:val="18"/>
                <w:vertAlign w:val="superscript"/>
              </w:rPr>
              <w:footnoteReference w:id="52"/>
            </w:r>
            <w:r>
              <w:rPr>
                <w:b/>
                <w:bCs/>
                <w:sz w:val="18"/>
                <w:szCs w:val="18"/>
              </w:rPr>
              <w:t xml:space="preserve"> </w:t>
            </w:r>
            <w:r>
              <w:rPr>
                <w:sz w:val="18"/>
                <w:szCs w:val="18"/>
              </w:rPr>
              <w:t>Supports community-curated enrichment of PID metadata for existing outputs, directly aligned with the retrospective scope of this requirement.</w:t>
            </w:r>
          </w:p>
        </w:tc>
      </w:tr>
      <w:tr w:rsidR="00031725" w14:paraId="600A66BE" w14:textId="77777777" w:rsidTr="00555B08">
        <w:trPr>
          <w:trHeight w:val="1245"/>
        </w:trPr>
        <w:tc>
          <w:tcPr>
            <w:tcW w:w="660" w:type="dxa"/>
            <w:tcBorders>
              <w:top w:val="single" w:sz="5" w:space="0" w:color="005B52"/>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2C9" w14:textId="77777777" w:rsidR="00031725" w:rsidRDefault="00000000" w:rsidP="00555B08">
            <w:pPr>
              <w:spacing w:after="0"/>
              <w:jc w:val="center"/>
              <w:rPr>
                <w:b/>
                <w:bCs/>
                <w:sz w:val="18"/>
                <w:szCs w:val="18"/>
              </w:rPr>
            </w:pPr>
            <w:r>
              <w:rPr>
                <w:b/>
                <w:bCs/>
                <w:sz w:val="18"/>
                <w:szCs w:val="18"/>
              </w:rPr>
              <w:t>R10</w:t>
            </w:r>
          </w:p>
        </w:tc>
        <w:tc>
          <w:tcPr>
            <w:tcW w:w="2160" w:type="dxa"/>
            <w:tcBorders>
              <w:top w:val="single" w:sz="5" w:space="0" w:color="005B52"/>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2CA" w14:textId="77777777" w:rsidR="00031725" w:rsidRDefault="00000000" w:rsidP="00555B08">
            <w:pPr>
              <w:spacing w:after="60"/>
              <w:rPr>
                <w:b/>
                <w:bCs/>
                <w:sz w:val="18"/>
                <w:szCs w:val="18"/>
              </w:rPr>
            </w:pPr>
            <w:r>
              <w:rPr>
                <w:b/>
                <w:bCs/>
                <w:sz w:val="18"/>
                <w:szCs w:val="18"/>
              </w:rPr>
              <w:t>Track provenance of AI agent actions on data and metadata</w:t>
            </w:r>
          </w:p>
        </w:tc>
        <w:tc>
          <w:tcPr>
            <w:tcW w:w="2460" w:type="dxa"/>
            <w:tcBorders>
              <w:top w:val="single" w:sz="5" w:space="0" w:color="005B52"/>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2CB" w14:textId="77777777" w:rsidR="00031725" w:rsidRDefault="00000000" w:rsidP="00555B08">
            <w:pPr>
              <w:spacing w:after="60"/>
              <w:rPr>
                <w:sz w:val="18"/>
                <w:szCs w:val="18"/>
              </w:rPr>
            </w:pPr>
            <w:r>
              <w:rPr>
                <w:sz w:val="18"/>
                <w:szCs w:val="18"/>
              </w:rPr>
              <w:t>Record all actions taken by AI agents on data and metadata so that they can be verified, validated and audited.</w:t>
            </w:r>
          </w:p>
        </w:tc>
        <w:tc>
          <w:tcPr>
            <w:tcW w:w="1470" w:type="dxa"/>
            <w:tcBorders>
              <w:top w:val="single" w:sz="5" w:space="0" w:color="005B52"/>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2CC" w14:textId="77777777" w:rsidR="00031725" w:rsidRDefault="00000000" w:rsidP="00555B08">
            <w:pPr>
              <w:spacing w:after="60"/>
              <w:jc w:val="center"/>
              <w:rPr>
                <w:b/>
                <w:bCs/>
                <w:sz w:val="18"/>
                <w:szCs w:val="18"/>
              </w:rPr>
            </w:pPr>
            <w:r>
              <w:rPr>
                <w:b/>
                <w:bCs/>
                <w:sz w:val="18"/>
                <w:szCs w:val="18"/>
              </w:rPr>
              <w:t>MUST</w:t>
            </w:r>
          </w:p>
        </w:tc>
        <w:tc>
          <w:tcPr>
            <w:tcW w:w="2265" w:type="dxa"/>
            <w:tcBorders>
              <w:top w:val="single" w:sz="5" w:space="0" w:color="005B52"/>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2CD" w14:textId="77777777" w:rsidR="00031725" w:rsidRDefault="00031725" w:rsidP="00555B08">
            <w:pPr>
              <w:spacing w:after="0"/>
              <w:rPr>
                <w:sz w:val="18"/>
                <w:szCs w:val="18"/>
              </w:rPr>
            </w:pPr>
            <w:hyperlink r:id="rId70">
              <w:r>
                <w:rPr>
                  <w:b/>
                  <w:bCs/>
                  <w:color w:val="1155CC"/>
                  <w:sz w:val="18"/>
                  <w:szCs w:val="18"/>
                  <w:u w:val="single"/>
                </w:rPr>
                <w:t>PROV-O</w:t>
              </w:r>
            </w:hyperlink>
            <w:r>
              <w:rPr>
                <w:b/>
                <w:bCs/>
                <w:sz w:val="18"/>
                <w:szCs w:val="18"/>
              </w:rPr>
              <w:t>.</w:t>
            </w:r>
            <w:r>
              <w:rPr>
                <w:b/>
                <w:bCs/>
                <w:sz w:val="18"/>
                <w:szCs w:val="18"/>
                <w:vertAlign w:val="superscript"/>
              </w:rPr>
              <w:footnoteReference w:id="53"/>
            </w:r>
            <w:r>
              <w:rPr>
                <w:b/>
                <w:bCs/>
                <w:sz w:val="18"/>
                <w:szCs w:val="18"/>
              </w:rPr>
              <w:t xml:space="preserve"> </w:t>
            </w:r>
            <w:r>
              <w:rPr>
                <w:sz w:val="18"/>
                <w:szCs w:val="18"/>
              </w:rPr>
              <w:t>Identified as a candidate standard for provenance recording, with archiving option. See also Section 5.4.</w:t>
            </w:r>
          </w:p>
          <w:p w14:paraId="000002CE" w14:textId="77777777" w:rsidR="00031725" w:rsidRDefault="00031725" w:rsidP="00555B08">
            <w:pPr>
              <w:spacing w:after="0"/>
              <w:rPr>
                <w:sz w:val="18"/>
                <w:szCs w:val="18"/>
              </w:rPr>
            </w:pPr>
          </w:p>
          <w:p w14:paraId="000002CF" w14:textId="77777777" w:rsidR="00031725" w:rsidRDefault="00031725" w:rsidP="00555B08">
            <w:pPr>
              <w:spacing w:after="0" w:line="240" w:lineRule="auto"/>
              <w:rPr>
                <w:sz w:val="18"/>
                <w:szCs w:val="18"/>
              </w:rPr>
            </w:pPr>
            <w:hyperlink r:id="rId71">
              <w:r>
                <w:rPr>
                  <w:b/>
                  <w:bCs/>
                  <w:color w:val="1155CC"/>
                  <w:sz w:val="18"/>
                  <w:szCs w:val="18"/>
                  <w:u w:val="single"/>
                </w:rPr>
                <w:t>eScience 2025 provenance paper</w:t>
              </w:r>
            </w:hyperlink>
            <w:hyperlink r:id="rId72">
              <w:r>
                <w:rPr>
                  <w:color w:val="1155CC"/>
                  <w:sz w:val="18"/>
                  <w:szCs w:val="18"/>
                  <w:u w:val="single"/>
                </w:rPr>
                <w:t>.</w:t>
              </w:r>
            </w:hyperlink>
            <w:r>
              <w:rPr>
                <w:sz w:val="18"/>
                <w:szCs w:val="18"/>
                <w:vertAlign w:val="superscript"/>
              </w:rPr>
              <w:footnoteReference w:id="54"/>
            </w:r>
            <w:r>
              <w:rPr>
                <w:sz w:val="18"/>
                <w:szCs w:val="18"/>
              </w:rPr>
              <w:t xml:space="preserve"> Community reference for PROV-O implementation in agentic AI research workflows.</w:t>
            </w:r>
            <w:r>
              <w:rPr>
                <w:sz w:val="18"/>
                <w:szCs w:val="18"/>
              </w:rPr>
              <w:br/>
            </w:r>
          </w:p>
          <w:p w14:paraId="000002D0" w14:textId="77777777" w:rsidR="00031725" w:rsidRDefault="00031725" w:rsidP="00555B08">
            <w:pPr>
              <w:spacing w:after="0" w:line="240" w:lineRule="auto"/>
              <w:rPr>
                <w:sz w:val="18"/>
                <w:szCs w:val="18"/>
              </w:rPr>
            </w:pPr>
            <w:hyperlink r:id="rId73">
              <w:r>
                <w:rPr>
                  <w:b/>
                  <w:bCs/>
                  <w:color w:val="1155CC"/>
                  <w:sz w:val="18"/>
                  <w:szCs w:val="18"/>
                  <w:u w:val="single"/>
                </w:rPr>
                <w:t>yProv</w:t>
              </w:r>
            </w:hyperlink>
            <w:r>
              <w:rPr>
                <w:sz w:val="18"/>
                <w:szCs w:val="18"/>
                <w:vertAlign w:val="superscript"/>
              </w:rPr>
              <w:t>.</w:t>
            </w:r>
            <w:r>
              <w:rPr>
                <w:sz w:val="18"/>
                <w:szCs w:val="18"/>
                <w:vertAlign w:val="superscript"/>
              </w:rPr>
              <w:footnoteReference w:id="55"/>
            </w:r>
            <w:r>
              <w:rPr>
                <w:sz w:val="18"/>
                <w:szCs w:val="18"/>
              </w:rPr>
              <w:t xml:space="preserve"> Provenance tracking service and includes yProv4ML.</w:t>
            </w:r>
          </w:p>
        </w:tc>
      </w:tr>
      <w:tr w:rsidR="00031725" w14:paraId="43BA7D95" w14:textId="77777777" w:rsidTr="00555B08">
        <w:trPr>
          <w:trHeight w:val="4110"/>
        </w:trPr>
        <w:tc>
          <w:tcPr>
            <w:tcW w:w="66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D1" w14:textId="77777777" w:rsidR="00031725" w:rsidRDefault="00000000" w:rsidP="00555B08">
            <w:pPr>
              <w:spacing w:after="0"/>
              <w:jc w:val="center"/>
              <w:rPr>
                <w:b/>
                <w:bCs/>
                <w:sz w:val="18"/>
                <w:szCs w:val="18"/>
              </w:rPr>
            </w:pPr>
            <w:r>
              <w:rPr>
                <w:b/>
                <w:bCs/>
                <w:sz w:val="18"/>
                <w:szCs w:val="18"/>
              </w:rPr>
              <w:lastRenderedPageBreak/>
              <w:t>R11</w:t>
            </w:r>
          </w:p>
        </w:tc>
        <w:tc>
          <w:tcPr>
            <w:tcW w:w="216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D2" w14:textId="77777777" w:rsidR="00031725" w:rsidRDefault="00000000" w:rsidP="00555B08">
            <w:pPr>
              <w:spacing w:after="60"/>
              <w:rPr>
                <w:b/>
                <w:bCs/>
                <w:sz w:val="18"/>
                <w:szCs w:val="18"/>
              </w:rPr>
            </w:pPr>
            <w:r>
              <w:rPr>
                <w:b/>
                <w:bCs/>
                <w:sz w:val="18"/>
                <w:szCs w:val="18"/>
              </w:rPr>
              <w:t>Link datasets to related research outputs including journal article publications, people, grants and software</w:t>
            </w:r>
          </w:p>
        </w:tc>
        <w:tc>
          <w:tcPr>
            <w:tcW w:w="246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D3" w14:textId="77777777" w:rsidR="00031725" w:rsidRDefault="00000000" w:rsidP="00555B08">
            <w:pPr>
              <w:spacing w:after="60"/>
              <w:rPr>
                <w:sz w:val="18"/>
                <w:szCs w:val="18"/>
              </w:rPr>
            </w:pPr>
            <w:r>
              <w:rPr>
                <w:sz w:val="18"/>
                <w:szCs w:val="18"/>
              </w:rPr>
              <w:t>The Data Director generates metadata that enables persistent links to be established between datasets and related research outputs including journal article publications, grants, software, and people. Linking metadata is produced for researcher review; registration of relationships through PID and repository workflows remains the responsibility of the researcher and the relevant repository. Linking to ORCID and ROR should be supported as part of metadata creation.</w:t>
            </w:r>
          </w:p>
        </w:tc>
        <w:tc>
          <w:tcPr>
            <w:tcW w:w="147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D4" w14:textId="77777777" w:rsidR="00031725" w:rsidRDefault="00000000" w:rsidP="00555B08">
            <w:pPr>
              <w:spacing w:after="60"/>
              <w:jc w:val="center"/>
              <w:rPr>
                <w:b/>
                <w:bCs/>
                <w:sz w:val="18"/>
                <w:szCs w:val="18"/>
              </w:rPr>
            </w:pPr>
            <w:r>
              <w:rPr>
                <w:b/>
                <w:bCs/>
                <w:sz w:val="18"/>
                <w:szCs w:val="18"/>
              </w:rPr>
              <w:t>SHOULD</w:t>
            </w:r>
          </w:p>
        </w:tc>
        <w:tc>
          <w:tcPr>
            <w:tcW w:w="226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D5" w14:textId="77777777" w:rsidR="00031725" w:rsidRDefault="00031725" w:rsidP="00555B08">
            <w:pPr>
              <w:spacing w:after="0"/>
              <w:rPr>
                <w:sz w:val="18"/>
                <w:szCs w:val="18"/>
              </w:rPr>
            </w:pPr>
            <w:hyperlink r:id="rId74">
              <w:r>
                <w:rPr>
                  <w:b/>
                  <w:bCs/>
                  <w:color w:val="1155CC"/>
                  <w:sz w:val="18"/>
                  <w:szCs w:val="18"/>
                  <w:u w:val="single"/>
                </w:rPr>
                <w:t>ORCID</w:t>
              </w:r>
            </w:hyperlink>
            <w:r>
              <w:rPr>
                <w:b/>
                <w:bCs/>
                <w:sz w:val="18"/>
                <w:szCs w:val="18"/>
              </w:rPr>
              <w:t>.</w:t>
            </w:r>
            <w:r>
              <w:rPr>
                <w:b/>
                <w:bCs/>
                <w:sz w:val="18"/>
                <w:szCs w:val="18"/>
                <w:vertAlign w:val="superscript"/>
              </w:rPr>
              <w:footnoteReference w:id="56"/>
            </w:r>
            <w:r>
              <w:rPr>
                <w:b/>
                <w:bCs/>
                <w:sz w:val="18"/>
                <w:szCs w:val="18"/>
              </w:rPr>
              <w:t xml:space="preserve"> </w:t>
            </w:r>
            <w:r>
              <w:rPr>
                <w:sz w:val="18"/>
                <w:szCs w:val="18"/>
              </w:rPr>
              <w:t>Persistent identifier for researchers; identified as a relevant linking target.</w:t>
            </w:r>
          </w:p>
          <w:p w14:paraId="000002D6" w14:textId="77777777" w:rsidR="00031725" w:rsidRDefault="00031725" w:rsidP="00555B08">
            <w:pPr>
              <w:spacing w:before="80" w:after="0"/>
              <w:rPr>
                <w:sz w:val="18"/>
                <w:szCs w:val="18"/>
              </w:rPr>
            </w:pPr>
            <w:hyperlink r:id="rId75">
              <w:r>
                <w:rPr>
                  <w:b/>
                  <w:bCs/>
                  <w:color w:val="1155CC"/>
                  <w:sz w:val="18"/>
                  <w:szCs w:val="18"/>
                  <w:u w:val="single"/>
                </w:rPr>
                <w:t>ROR (Research Organisation Registry)</w:t>
              </w:r>
            </w:hyperlink>
            <w:r>
              <w:rPr>
                <w:b/>
                <w:bCs/>
                <w:sz w:val="18"/>
                <w:szCs w:val="18"/>
              </w:rPr>
              <w:t>.</w:t>
            </w:r>
            <w:r>
              <w:rPr>
                <w:b/>
                <w:bCs/>
                <w:sz w:val="18"/>
                <w:szCs w:val="18"/>
                <w:vertAlign w:val="superscript"/>
              </w:rPr>
              <w:footnoteReference w:id="57"/>
            </w:r>
            <w:r>
              <w:rPr>
                <w:b/>
                <w:bCs/>
                <w:sz w:val="18"/>
                <w:szCs w:val="18"/>
              </w:rPr>
              <w:t xml:space="preserve"> </w:t>
            </w:r>
            <w:r>
              <w:rPr>
                <w:sz w:val="18"/>
                <w:szCs w:val="18"/>
              </w:rPr>
              <w:t>Persistent identifier for research organisations; identified as a relevant linking target.</w:t>
            </w:r>
          </w:p>
        </w:tc>
      </w:tr>
      <w:tr w:rsidR="00031725" w14:paraId="647083DC" w14:textId="77777777" w:rsidTr="00555B08">
        <w:trPr>
          <w:trHeight w:val="1665"/>
        </w:trPr>
        <w:tc>
          <w:tcPr>
            <w:tcW w:w="660" w:type="dxa"/>
            <w:tcBorders>
              <w:top w:val="single" w:sz="5" w:space="0" w:color="005B52"/>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2D7" w14:textId="77777777" w:rsidR="00031725" w:rsidRDefault="00000000" w:rsidP="00555B08">
            <w:pPr>
              <w:spacing w:after="0"/>
              <w:jc w:val="center"/>
              <w:rPr>
                <w:b/>
                <w:bCs/>
                <w:sz w:val="18"/>
                <w:szCs w:val="18"/>
              </w:rPr>
            </w:pPr>
            <w:r>
              <w:rPr>
                <w:b/>
                <w:bCs/>
                <w:sz w:val="18"/>
                <w:szCs w:val="18"/>
              </w:rPr>
              <w:t>R12</w:t>
            </w:r>
          </w:p>
        </w:tc>
        <w:tc>
          <w:tcPr>
            <w:tcW w:w="2160" w:type="dxa"/>
            <w:tcBorders>
              <w:top w:val="single" w:sz="5" w:space="0" w:color="005B52"/>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2D8" w14:textId="77777777" w:rsidR="00031725" w:rsidRDefault="00000000" w:rsidP="00555B08">
            <w:pPr>
              <w:spacing w:after="60"/>
              <w:rPr>
                <w:b/>
                <w:bCs/>
                <w:sz w:val="18"/>
                <w:szCs w:val="18"/>
              </w:rPr>
            </w:pPr>
            <w:r>
              <w:rPr>
                <w:b/>
                <w:bCs/>
                <w:sz w:val="18"/>
                <w:szCs w:val="18"/>
              </w:rPr>
              <w:t>Discover related datasets relevant to a research project</w:t>
            </w:r>
          </w:p>
        </w:tc>
        <w:tc>
          <w:tcPr>
            <w:tcW w:w="2460" w:type="dxa"/>
            <w:tcBorders>
              <w:top w:val="single" w:sz="5" w:space="0" w:color="005B52"/>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2D9" w14:textId="77777777" w:rsidR="00031725" w:rsidRDefault="00000000" w:rsidP="00555B08">
            <w:pPr>
              <w:spacing w:after="60"/>
              <w:rPr>
                <w:sz w:val="18"/>
                <w:szCs w:val="18"/>
              </w:rPr>
            </w:pPr>
            <w:r>
              <w:rPr>
                <w:sz w:val="18"/>
                <w:szCs w:val="18"/>
              </w:rPr>
              <w:t>Surface relevant existing datasets quickly without relying on general-purpose search engines. Discovery must be optional and must not trigger any changes to existing metadata records.</w:t>
            </w:r>
          </w:p>
        </w:tc>
        <w:tc>
          <w:tcPr>
            <w:tcW w:w="1470" w:type="dxa"/>
            <w:tcBorders>
              <w:top w:val="single" w:sz="5" w:space="0" w:color="005B52"/>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2DA" w14:textId="77777777" w:rsidR="00031725" w:rsidRDefault="00000000" w:rsidP="00555B08">
            <w:pPr>
              <w:spacing w:after="60"/>
              <w:jc w:val="center"/>
              <w:rPr>
                <w:b/>
                <w:bCs/>
                <w:sz w:val="18"/>
                <w:szCs w:val="18"/>
              </w:rPr>
            </w:pPr>
            <w:r>
              <w:rPr>
                <w:b/>
                <w:bCs/>
                <w:sz w:val="18"/>
                <w:szCs w:val="18"/>
              </w:rPr>
              <w:t>MAY</w:t>
            </w:r>
          </w:p>
        </w:tc>
        <w:tc>
          <w:tcPr>
            <w:tcW w:w="2265" w:type="dxa"/>
            <w:tcBorders>
              <w:top w:val="single" w:sz="5" w:space="0" w:color="005B52"/>
              <w:left w:val="single" w:sz="5" w:space="0" w:color="005B52"/>
              <w:bottom w:val="single" w:sz="5" w:space="0" w:color="005B52"/>
              <w:right w:val="single" w:sz="5" w:space="0" w:color="005B52"/>
            </w:tcBorders>
            <w:shd w:val="clear" w:color="auto" w:fill="EDF7F5"/>
            <w:tcMar>
              <w:top w:w="80" w:type="dxa"/>
              <w:left w:w="120" w:type="dxa"/>
              <w:bottom w:w="80" w:type="dxa"/>
              <w:right w:w="120" w:type="dxa"/>
            </w:tcMar>
          </w:tcPr>
          <w:p w14:paraId="000002DB" w14:textId="77777777" w:rsidR="00031725" w:rsidRDefault="00000000" w:rsidP="00555B08">
            <w:pPr>
              <w:spacing w:after="0"/>
              <w:rPr>
                <w:sz w:val="18"/>
                <w:szCs w:val="18"/>
              </w:rPr>
            </w:pPr>
            <w:r>
              <w:rPr>
                <w:b/>
                <w:bCs/>
                <w:sz w:val="18"/>
                <w:szCs w:val="18"/>
              </w:rPr>
              <w:t xml:space="preserve">DataCite MCP. </w:t>
            </w:r>
            <w:r>
              <w:rPr>
                <w:sz w:val="18"/>
                <w:szCs w:val="18"/>
              </w:rPr>
              <w:t>In active development at the time of writing; monitor for availability. Identified as a relevant resource for dataset discovery.</w:t>
            </w:r>
          </w:p>
        </w:tc>
      </w:tr>
    </w:tbl>
    <w:p w14:paraId="000002DC" w14:textId="578EDD9A" w:rsidR="00031725" w:rsidRDefault="00555B08">
      <w:pPr>
        <w:pStyle w:val="Heading2"/>
      </w:pPr>
      <w:r>
        <w:br w:type="textWrapping" w:clear="all"/>
      </w:r>
      <w:bookmarkStart w:id="28" w:name="_Toc233654403"/>
      <w:r>
        <w:t>7.2 Non-functional Requirements</w:t>
      </w:r>
      <w:bookmarkEnd w:id="28"/>
      <w:r>
        <w:t xml:space="preserve"> </w:t>
      </w:r>
    </w:p>
    <w:p w14:paraId="000002DD" w14:textId="29515D48" w:rsidR="00031725" w:rsidRDefault="00000000">
      <w:r>
        <w:t>Non-functional requirements describe how well the system must perform: the quality standards and constraints it must meet across all capabilities, such as how fast,</w:t>
      </w:r>
      <w:r w:rsidR="00555B08">
        <w:t xml:space="preserve"> </w:t>
      </w:r>
      <w:r>
        <w:t>secure,</w:t>
      </w:r>
      <w:r w:rsidR="00555B08">
        <w:t xml:space="preserve"> </w:t>
      </w:r>
      <w:r>
        <w:t>available, and accessible it must be (Table 4).</w:t>
      </w:r>
    </w:p>
    <w:p w14:paraId="4B163A6F" w14:textId="77777777" w:rsidR="00555B08" w:rsidRDefault="00555B08"/>
    <w:p w14:paraId="76C78653" w14:textId="77777777" w:rsidR="00555B08" w:rsidRDefault="00555B08"/>
    <w:p w14:paraId="4523D415" w14:textId="77777777" w:rsidR="00555B08" w:rsidRDefault="00555B08"/>
    <w:p w14:paraId="36099FD0" w14:textId="77777777" w:rsidR="00555B08" w:rsidRDefault="00555B08"/>
    <w:p w14:paraId="2B0851C2" w14:textId="77777777" w:rsidR="00555B08" w:rsidRDefault="00555B08"/>
    <w:p w14:paraId="0A01A008" w14:textId="77777777" w:rsidR="00555B08" w:rsidRDefault="00555B08"/>
    <w:p w14:paraId="1C1E754A" w14:textId="77777777" w:rsidR="00555B08" w:rsidRDefault="00555B08"/>
    <w:p w14:paraId="000002DE" w14:textId="77777777" w:rsidR="00031725" w:rsidRDefault="00000000">
      <w:pPr>
        <w:rPr>
          <w:sz w:val="18"/>
          <w:szCs w:val="18"/>
        </w:rPr>
      </w:pPr>
      <w:r>
        <w:rPr>
          <w:b/>
          <w:bCs/>
          <w:sz w:val="18"/>
          <w:szCs w:val="18"/>
        </w:rPr>
        <w:lastRenderedPageBreak/>
        <w:t xml:space="preserve">Table 4. </w:t>
      </w:r>
      <w:r>
        <w:rPr>
          <w:sz w:val="18"/>
          <w:szCs w:val="18"/>
        </w:rPr>
        <w:t>Non-functional requirements for the Data Director, showing each quality standard or constraint, its category, its requirement, and the rationale for its inclusion.</w:t>
      </w:r>
    </w:p>
    <w:tbl>
      <w:tblPr>
        <w:tblStyle w:val="a4"/>
        <w:tblW w:w="90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45"/>
        <w:gridCol w:w="1605"/>
        <w:gridCol w:w="3465"/>
        <w:gridCol w:w="3000"/>
      </w:tblGrid>
      <w:tr w:rsidR="00031725" w14:paraId="4B7F7ABE" w14:textId="77777777">
        <w:trPr>
          <w:trHeight w:val="375"/>
        </w:trPr>
        <w:tc>
          <w:tcPr>
            <w:tcW w:w="945" w:type="dxa"/>
            <w:tcBorders>
              <w:top w:val="single" w:sz="5" w:space="0" w:color="005B52"/>
              <w:left w:val="single" w:sz="5" w:space="0" w:color="005B52"/>
              <w:bottom w:val="single" w:sz="5" w:space="0" w:color="005B52"/>
              <w:right w:val="single" w:sz="5" w:space="0" w:color="005B52"/>
            </w:tcBorders>
            <w:shd w:val="clear" w:color="auto" w:fill="005B52"/>
            <w:tcMar>
              <w:top w:w="80" w:type="dxa"/>
              <w:left w:w="120" w:type="dxa"/>
              <w:bottom w:w="80" w:type="dxa"/>
              <w:right w:w="120" w:type="dxa"/>
            </w:tcMar>
          </w:tcPr>
          <w:p w14:paraId="000002DF" w14:textId="77777777" w:rsidR="00031725" w:rsidRDefault="00000000">
            <w:pPr>
              <w:spacing w:after="0"/>
              <w:jc w:val="center"/>
              <w:rPr>
                <w:b/>
                <w:bCs/>
                <w:color w:val="FFFFFF"/>
                <w:sz w:val="18"/>
                <w:szCs w:val="18"/>
              </w:rPr>
            </w:pPr>
            <w:r>
              <w:rPr>
                <w:b/>
                <w:bCs/>
                <w:color w:val="FFFFFF"/>
                <w:sz w:val="18"/>
                <w:szCs w:val="18"/>
              </w:rPr>
              <w:t>ID</w:t>
            </w:r>
          </w:p>
        </w:tc>
        <w:tc>
          <w:tcPr>
            <w:tcW w:w="1605" w:type="dxa"/>
            <w:tcBorders>
              <w:top w:val="single" w:sz="5" w:space="0" w:color="005B52"/>
              <w:left w:val="single" w:sz="5" w:space="0" w:color="005B52"/>
              <w:bottom w:val="single" w:sz="5" w:space="0" w:color="005B52"/>
              <w:right w:val="single" w:sz="5" w:space="0" w:color="005B52"/>
            </w:tcBorders>
            <w:shd w:val="clear" w:color="auto" w:fill="005B52"/>
            <w:tcMar>
              <w:top w:w="80" w:type="dxa"/>
              <w:left w:w="120" w:type="dxa"/>
              <w:bottom w:w="80" w:type="dxa"/>
              <w:right w:w="120" w:type="dxa"/>
            </w:tcMar>
          </w:tcPr>
          <w:p w14:paraId="000002E0" w14:textId="77777777" w:rsidR="00031725" w:rsidRDefault="00000000">
            <w:pPr>
              <w:spacing w:after="0"/>
              <w:jc w:val="center"/>
              <w:rPr>
                <w:b/>
                <w:bCs/>
                <w:color w:val="FFFFFF"/>
                <w:sz w:val="18"/>
                <w:szCs w:val="18"/>
              </w:rPr>
            </w:pPr>
            <w:r>
              <w:rPr>
                <w:b/>
                <w:bCs/>
                <w:color w:val="FFFFFF"/>
                <w:sz w:val="18"/>
                <w:szCs w:val="18"/>
              </w:rPr>
              <w:t>Category</w:t>
            </w:r>
          </w:p>
        </w:tc>
        <w:tc>
          <w:tcPr>
            <w:tcW w:w="3465" w:type="dxa"/>
            <w:tcBorders>
              <w:top w:val="single" w:sz="5" w:space="0" w:color="005B52"/>
              <w:left w:val="single" w:sz="5" w:space="0" w:color="005B52"/>
              <w:bottom w:val="single" w:sz="5" w:space="0" w:color="005B52"/>
              <w:right w:val="single" w:sz="5" w:space="0" w:color="005B52"/>
            </w:tcBorders>
            <w:shd w:val="clear" w:color="auto" w:fill="005B52"/>
            <w:tcMar>
              <w:top w:w="80" w:type="dxa"/>
              <w:left w:w="120" w:type="dxa"/>
              <w:bottom w:w="80" w:type="dxa"/>
              <w:right w:w="120" w:type="dxa"/>
            </w:tcMar>
          </w:tcPr>
          <w:p w14:paraId="000002E1" w14:textId="77777777" w:rsidR="00031725" w:rsidRDefault="00000000">
            <w:pPr>
              <w:spacing w:after="0"/>
              <w:jc w:val="center"/>
              <w:rPr>
                <w:b/>
                <w:bCs/>
                <w:color w:val="FFFFFF"/>
                <w:sz w:val="18"/>
                <w:szCs w:val="18"/>
              </w:rPr>
            </w:pPr>
            <w:r>
              <w:rPr>
                <w:b/>
                <w:bCs/>
                <w:color w:val="FFFFFF"/>
                <w:sz w:val="18"/>
                <w:szCs w:val="18"/>
              </w:rPr>
              <w:t>Requirement</w:t>
            </w:r>
          </w:p>
        </w:tc>
        <w:tc>
          <w:tcPr>
            <w:tcW w:w="3000" w:type="dxa"/>
            <w:tcBorders>
              <w:top w:val="single" w:sz="5" w:space="0" w:color="005B52"/>
              <w:left w:val="single" w:sz="5" w:space="0" w:color="005B52"/>
              <w:bottom w:val="single" w:sz="5" w:space="0" w:color="005B52"/>
              <w:right w:val="single" w:sz="5" w:space="0" w:color="005B52"/>
            </w:tcBorders>
            <w:shd w:val="clear" w:color="auto" w:fill="005B52"/>
            <w:tcMar>
              <w:top w:w="80" w:type="dxa"/>
              <w:left w:w="120" w:type="dxa"/>
              <w:bottom w:w="80" w:type="dxa"/>
              <w:right w:w="120" w:type="dxa"/>
            </w:tcMar>
          </w:tcPr>
          <w:p w14:paraId="000002E2" w14:textId="77777777" w:rsidR="00031725" w:rsidRDefault="00000000">
            <w:pPr>
              <w:spacing w:after="0"/>
              <w:jc w:val="center"/>
              <w:rPr>
                <w:b/>
                <w:bCs/>
                <w:color w:val="FFFFFF"/>
                <w:sz w:val="18"/>
                <w:szCs w:val="18"/>
              </w:rPr>
            </w:pPr>
            <w:r>
              <w:rPr>
                <w:b/>
                <w:bCs/>
                <w:color w:val="FFFFFF"/>
                <w:sz w:val="18"/>
                <w:szCs w:val="18"/>
              </w:rPr>
              <w:t>Rationale</w:t>
            </w:r>
          </w:p>
        </w:tc>
      </w:tr>
      <w:tr w:rsidR="00031725" w14:paraId="7494B378" w14:textId="77777777">
        <w:trPr>
          <w:trHeight w:val="540"/>
        </w:trPr>
        <w:tc>
          <w:tcPr>
            <w:tcW w:w="945" w:type="dxa"/>
            <w:tcBorders>
              <w:top w:val="single" w:sz="5" w:space="0" w:color="005B52"/>
              <w:left w:val="single" w:sz="5" w:space="0" w:color="005B52"/>
              <w:bottom w:val="single" w:sz="5" w:space="0" w:color="005B52"/>
              <w:right w:val="single" w:sz="5" w:space="0" w:color="005B52"/>
            </w:tcBorders>
            <w:shd w:val="clear" w:color="auto" w:fill="005B52"/>
            <w:tcMar>
              <w:top w:w="60" w:type="dxa"/>
              <w:left w:w="120" w:type="dxa"/>
              <w:bottom w:w="60" w:type="dxa"/>
              <w:right w:w="120" w:type="dxa"/>
            </w:tcMar>
          </w:tcPr>
          <w:p w14:paraId="000002E3" w14:textId="77777777" w:rsidR="00031725" w:rsidRDefault="00000000">
            <w:pPr>
              <w:spacing w:after="0"/>
              <w:rPr>
                <w:sz w:val="18"/>
                <w:szCs w:val="18"/>
              </w:rPr>
            </w:pPr>
            <w:r>
              <w:rPr>
                <w:sz w:val="18"/>
                <w:szCs w:val="18"/>
              </w:rPr>
              <w:t xml:space="preserve"> </w:t>
            </w:r>
          </w:p>
        </w:tc>
        <w:tc>
          <w:tcPr>
            <w:tcW w:w="1605" w:type="dxa"/>
            <w:tcBorders>
              <w:top w:val="single" w:sz="5" w:space="0" w:color="005B52"/>
              <w:left w:val="single" w:sz="5" w:space="0" w:color="005B52"/>
              <w:bottom w:val="single" w:sz="5" w:space="0" w:color="005B52"/>
              <w:right w:val="single" w:sz="5" w:space="0" w:color="005B52"/>
            </w:tcBorders>
            <w:shd w:val="clear" w:color="auto" w:fill="005B52"/>
            <w:tcMar>
              <w:top w:w="60" w:type="dxa"/>
              <w:left w:w="120" w:type="dxa"/>
              <w:bottom w:w="60" w:type="dxa"/>
              <w:right w:w="120" w:type="dxa"/>
            </w:tcMar>
          </w:tcPr>
          <w:p w14:paraId="000002E4" w14:textId="77777777" w:rsidR="00031725" w:rsidRDefault="00000000">
            <w:pPr>
              <w:spacing w:after="0"/>
              <w:rPr>
                <w:sz w:val="18"/>
                <w:szCs w:val="18"/>
              </w:rPr>
            </w:pPr>
            <w:r>
              <w:rPr>
                <w:sz w:val="18"/>
                <w:szCs w:val="18"/>
              </w:rPr>
              <w:t xml:space="preserve"> </w:t>
            </w:r>
          </w:p>
        </w:tc>
        <w:tc>
          <w:tcPr>
            <w:tcW w:w="3465" w:type="dxa"/>
            <w:tcBorders>
              <w:top w:val="single" w:sz="5" w:space="0" w:color="005B52"/>
              <w:left w:val="single" w:sz="5" w:space="0" w:color="005B52"/>
              <w:bottom w:val="single" w:sz="5" w:space="0" w:color="005B52"/>
              <w:right w:val="single" w:sz="5" w:space="0" w:color="005B52"/>
            </w:tcBorders>
            <w:shd w:val="clear" w:color="auto" w:fill="005B52"/>
            <w:tcMar>
              <w:top w:w="60" w:type="dxa"/>
              <w:left w:w="120" w:type="dxa"/>
              <w:bottom w:w="60" w:type="dxa"/>
              <w:right w:w="120" w:type="dxa"/>
            </w:tcMar>
          </w:tcPr>
          <w:p w14:paraId="000002E5" w14:textId="77777777" w:rsidR="00031725" w:rsidRDefault="00000000">
            <w:pPr>
              <w:spacing w:after="0"/>
              <w:jc w:val="center"/>
              <w:rPr>
                <w:i/>
                <w:iCs/>
                <w:color w:val="FFFFFF"/>
                <w:sz w:val="18"/>
                <w:szCs w:val="18"/>
              </w:rPr>
            </w:pPr>
            <w:r>
              <w:rPr>
                <w:i/>
                <w:iCs/>
                <w:color w:val="FFFFFF"/>
                <w:sz w:val="18"/>
                <w:szCs w:val="18"/>
              </w:rPr>
              <w:t>What the system must do or achieve</w:t>
            </w:r>
          </w:p>
        </w:tc>
        <w:tc>
          <w:tcPr>
            <w:tcW w:w="3000" w:type="dxa"/>
            <w:tcBorders>
              <w:top w:val="single" w:sz="5" w:space="0" w:color="005B52"/>
              <w:left w:val="single" w:sz="5" w:space="0" w:color="005B52"/>
              <w:bottom w:val="single" w:sz="5" w:space="0" w:color="005B52"/>
              <w:right w:val="single" w:sz="5" w:space="0" w:color="005B52"/>
            </w:tcBorders>
            <w:shd w:val="clear" w:color="auto" w:fill="005B52"/>
            <w:tcMar>
              <w:top w:w="60" w:type="dxa"/>
              <w:left w:w="120" w:type="dxa"/>
              <w:bottom w:w="60" w:type="dxa"/>
              <w:right w:w="120" w:type="dxa"/>
            </w:tcMar>
          </w:tcPr>
          <w:p w14:paraId="000002E6" w14:textId="77777777" w:rsidR="00031725" w:rsidRDefault="00000000">
            <w:pPr>
              <w:spacing w:after="0"/>
              <w:jc w:val="center"/>
              <w:rPr>
                <w:i/>
                <w:iCs/>
                <w:color w:val="FFFFFF"/>
                <w:sz w:val="18"/>
                <w:szCs w:val="18"/>
              </w:rPr>
            </w:pPr>
            <w:r>
              <w:rPr>
                <w:i/>
                <w:iCs/>
                <w:color w:val="FFFFFF"/>
                <w:sz w:val="18"/>
                <w:szCs w:val="18"/>
              </w:rPr>
              <w:t>Why this standard or constraint is necessary</w:t>
            </w:r>
          </w:p>
        </w:tc>
      </w:tr>
      <w:tr w:rsidR="00031725" w14:paraId="6DC6D025" w14:textId="77777777">
        <w:trPr>
          <w:trHeight w:val="2625"/>
        </w:trPr>
        <w:tc>
          <w:tcPr>
            <w:tcW w:w="94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E7" w14:textId="77777777" w:rsidR="00031725" w:rsidRDefault="00000000">
            <w:pPr>
              <w:spacing w:after="0"/>
              <w:rPr>
                <w:b/>
                <w:bCs/>
                <w:sz w:val="18"/>
                <w:szCs w:val="18"/>
              </w:rPr>
            </w:pPr>
            <w:r>
              <w:rPr>
                <w:b/>
                <w:bCs/>
                <w:sz w:val="18"/>
                <w:szCs w:val="18"/>
              </w:rPr>
              <w:t>C1</w:t>
            </w:r>
          </w:p>
        </w:tc>
        <w:tc>
          <w:tcPr>
            <w:tcW w:w="160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E8" w14:textId="77777777" w:rsidR="00031725" w:rsidRDefault="00000000">
            <w:pPr>
              <w:spacing w:after="0"/>
              <w:rPr>
                <w:b/>
                <w:bCs/>
                <w:sz w:val="18"/>
                <w:szCs w:val="18"/>
              </w:rPr>
            </w:pPr>
            <w:r>
              <w:rPr>
                <w:b/>
                <w:bCs/>
                <w:sz w:val="18"/>
                <w:szCs w:val="18"/>
              </w:rPr>
              <w:t>Security</w:t>
            </w:r>
          </w:p>
        </w:tc>
        <w:tc>
          <w:tcPr>
            <w:tcW w:w="346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E9" w14:textId="77777777" w:rsidR="00031725" w:rsidRDefault="00000000">
            <w:pPr>
              <w:spacing w:after="0"/>
              <w:rPr>
                <w:sz w:val="18"/>
                <w:szCs w:val="18"/>
              </w:rPr>
            </w:pPr>
            <w:r>
              <w:rPr>
                <w:sz w:val="18"/>
                <w:szCs w:val="18"/>
              </w:rPr>
              <w:t>Data in transit and at rest must be encrypted at the infrastructure layer, with restricted access as default. Encryption operates at the infrastructure layer and does not restrict access to open data. Access to metadata, datasets and agent actions must be role-based, token-verified and auditable. A recognised framework such as NIST should be adopted as the compliance baseline.</w:t>
            </w:r>
          </w:p>
        </w:tc>
        <w:tc>
          <w:tcPr>
            <w:tcW w:w="300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EA" w14:textId="77777777" w:rsidR="00031725" w:rsidRDefault="00000000">
            <w:pPr>
              <w:spacing w:after="0"/>
              <w:rPr>
                <w:sz w:val="18"/>
                <w:szCs w:val="18"/>
              </w:rPr>
            </w:pPr>
            <w:r>
              <w:rPr>
                <w:sz w:val="18"/>
                <w:szCs w:val="18"/>
              </w:rPr>
              <w:t>The Data Director handles sensitive research data across multiple institutions. Funders, journals and institutions require demonstrable protection against unauthorised access, and audit trails are essential where AI agents act on data. The scope of the security audit trail is infrastructure and access control; AI agent action audit trails are addressed in C13.</w:t>
            </w:r>
          </w:p>
          <w:p w14:paraId="000002EB" w14:textId="77777777" w:rsidR="00031725" w:rsidRDefault="00031725">
            <w:pPr>
              <w:spacing w:after="0"/>
              <w:rPr>
                <w:sz w:val="18"/>
                <w:szCs w:val="18"/>
              </w:rPr>
            </w:pPr>
          </w:p>
          <w:p w14:paraId="000002EC" w14:textId="77777777" w:rsidR="00031725" w:rsidRDefault="00031725">
            <w:pPr>
              <w:spacing w:after="0" w:line="240" w:lineRule="auto"/>
              <w:rPr>
                <w:sz w:val="18"/>
                <w:szCs w:val="18"/>
              </w:rPr>
            </w:pPr>
            <w:hyperlink r:id="rId76">
              <w:r>
                <w:rPr>
                  <w:color w:val="1155CC"/>
                  <w:sz w:val="18"/>
                  <w:szCs w:val="18"/>
                  <w:u w:val="single"/>
                </w:rPr>
                <w:t>Australian Cyber Security Centre</w:t>
              </w:r>
            </w:hyperlink>
            <w:r>
              <w:rPr>
                <w:sz w:val="18"/>
                <w:szCs w:val="18"/>
              </w:rPr>
              <w:t>.</w:t>
            </w:r>
            <w:r>
              <w:rPr>
                <w:sz w:val="18"/>
                <w:szCs w:val="18"/>
                <w:vertAlign w:val="superscript"/>
              </w:rPr>
              <w:footnoteReference w:id="58"/>
            </w:r>
            <w:r>
              <w:rPr>
                <w:sz w:val="18"/>
                <w:szCs w:val="18"/>
              </w:rPr>
              <w:t xml:space="preserve"> Guidance on careful adoption of agentic AI services, directly relevant to agentic AI security baseline requirements</w:t>
            </w:r>
          </w:p>
        </w:tc>
      </w:tr>
      <w:tr w:rsidR="00031725" w14:paraId="7F2C1353" w14:textId="77777777">
        <w:trPr>
          <w:trHeight w:val="3645"/>
        </w:trPr>
        <w:tc>
          <w:tcPr>
            <w:tcW w:w="945" w:type="dxa"/>
            <w:tcBorders>
              <w:top w:val="single" w:sz="5" w:space="0" w:color="005B52"/>
              <w:left w:val="single" w:sz="5" w:space="0" w:color="005B52"/>
              <w:bottom w:val="single" w:sz="5" w:space="0" w:color="005B52"/>
              <w:right w:val="single" w:sz="5" w:space="0" w:color="005B52"/>
            </w:tcBorders>
            <w:shd w:val="clear" w:color="auto" w:fill="E6F0EF"/>
            <w:tcMar>
              <w:top w:w="80" w:type="dxa"/>
              <w:left w:w="120" w:type="dxa"/>
              <w:bottom w:w="80" w:type="dxa"/>
              <w:right w:w="120" w:type="dxa"/>
            </w:tcMar>
          </w:tcPr>
          <w:p w14:paraId="000002ED" w14:textId="77777777" w:rsidR="00031725" w:rsidRDefault="00000000">
            <w:pPr>
              <w:spacing w:after="0"/>
              <w:rPr>
                <w:b/>
                <w:bCs/>
                <w:sz w:val="18"/>
                <w:szCs w:val="18"/>
              </w:rPr>
            </w:pPr>
            <w:r>
              <w:rPr>
                <w:b/>
                <w:bCs/>
                <w:sz w:val="18"/>
                <w:szCs w:val="18"/>
              </w:rPr>
              <w:t>C2</w:t>
            </w:r>
          </w:p>
        </w:tc>
        <w:tc>
          <w:tcPr>
            <w:tcW w:w="1605" w:type="dxa"/>
            <w:tcBorders>
              <w:top w:val="single" w:sz="5" w:space="0" w:color="005B52"/>
              <w:left w:val="single" w:sz="5" w:space="0" w:color="005B52"/>
              <w:bottom w:val="single" w:sz="5" w:space="0" w:color="005B52"/>
              <w:right w:val="single" w:sz="5" w:space="0" w:color="005B52"/>
            </w:tcBorders>
            <w:shd w:val="clear" w:color="auto" w:fill="E6F0EF"/>
            <w:tcMar>
              <w:top w:w="80" w:type="dxa"/>
              <w:left w:w="120" w:type="dxa"/>
              <w:bottom w:w="80" w:type="dxa"/>
              <w:right w:w="120" w:type="dxa"/>
            </w:tcMar>
          </w:tcPr>
          <w:p w14:paraId="000002EE" w14:textId="77777777" w:rsidR="00031725" w:rsidRDefault="00000000">
            <w:pPr>
              <w:spacing w:after="0"/>
              <w:rPr>
                <w:b/>
                <w:bCs/>
                <w:sz w:val="18"/>
                <w:szCs w:val="18"/>
              </w:rPr>
            </w:pPr>
            <w:r>
              <w:rPr>
                <w:b/>
                <w:bCs/>
                <w:sz w:val="18"/>
                <w:szCs w:val="18"/>
              </w:rPr>
              <w:t>Privacy</w:t>
            </w:r>
          </w:p>
        </w:tc>
        <w:tc>
          <w:tcPr>
            <w:tcW w:w="3465" w:type="dxa"/>
            <w:tcBorders>
              <w:top w:val="single" w:sz="5" w:space="0" w:color="005B52"/>
              <w:left w:val="single" w:sz="5" w:space="0" w:color="005B52"/>
              <w:bottom w:val="single" w:sz="5" w:space="0" w:color="005B52"/>
              <w:right w:val="single" w:sz="5" w:space="0" w:color="005B52"/>
            </w:tcBorders>
            <w:shd w:val="clear" w:color="auto" w:fill="E6F0EF"/>
            <w:tcMar>
              <w:top w:w="80" w:type="dxa"/>
              <w:left w:w="120" w:type="dxa"/>
              <w:bottom w:w="80" w:type="dxa"/>
              <w:right w:w="120" w:type="dxa"/>
            </w:tcMar>
          </w:tcPr>
          <w:p w14:paraId="000002EF" w14:textId="77777777" w:rsidR="00031725" w:rsidRDefault="00000000">
            <w:pPr>
              <w:spacing w:after="0" w:line="240" w:lineRule="auto"/>
              <w:rPr>
                <w:sz w:val="18"/>
                <w:szCs w:val="18"/>
              </w:rPr>
            </w:pPr>
            <w:r>
              <w:rPr>
                <w:sz w:val="18"/>
                <w:szCs w:val="18"/>
              </w:rPr>
              <w:t>The Data Director must apply data minimisation principles to all metadata outputs, ensuring that personally identifiable or sensitive information is not exposed in metadata records or documentation. The tool must prompt users to confirm that applicable ethics approvals are in place before any deposit workflow proceeds. Where potential identifiers are flagged or detected in data or metadata, the tool must pause the sharing workflow, alert the human reviewer, and provide guidance on appropriate next steps; it must not attempt anonymisation or deidentification autonomously. Active detection of personal identifiers within datasets is identified as a future capability in Section 4.1; in this iteration the tool's contribution is to ensure that governance steps around personal data are not bypassed. More advanced detection of indirect or contextual identifiers remains a Future Consideration.</w:t>
            </w:r>
          </w:p>
        </w:tc>
        <w:tc>
          <w:tcPr>
            <w:tcW w:w="3000" w:type="dxa"/>
            <w:tcBorders>
              <w:top w:val="single" w:sz="5" w:space="0" w:color="005B52"/>
              <w:left w:val="single" w:sz="5" w:space="0" w:color="005B52"/>
              <w:bottom w:val="single" w:sz="5" w:space="0" w:color="005B52"/>
              <w:right w:val="single" w:sz="5" w:space="0" w:color="005B52"/>
            </w:tcBorders>
            <w:shd w:val="clear" w:color="auto" w:fill="E6F0EF"/>
            <w:tcMar>
              <w:top w:w="80" w:type="dxa"/>
              <w:left w:w="120" w:type="dxa"/>
              <w:bottom w:w="80" w:type="dxa"/>
              <w:right w:w="120" w:type="dxa"/>
            </w:tcMar>
          </w:tcPr>
          <w:p w14:paraId="000002F0" w14:textId="77777777" w:rsidR="00031725" w:rsidRDefault="00000000">
            <w:pPr>
              <w:spacing w:after="0"/>
              <w:rPr>
                <w:sz w:val="18"/>
                <w:szCs w:val="18"/>
              </w:rPr>
            </w:pPr>
            <w:r>
              <w:rPr>
                <w:sz w:val="18"/>
                <w:szCs w:val="18"/>
              </w:rPr>
              <w:t>The Data Director’s role is to detect and flag privacy risks, not to resolve them. Anonymisation or deidentification and ethics compliance are institutional responsibilities that require human judgement and context-appropriate tooling; the tool’s contribution is to ensure these steps are not bypassed.</w:t>
            </w:r>
          </w:p>
        </w:tc>
      </w:tr>
      <w:tr w:rsidR="00031725" w14:paraId="58EE48F8" w14:textId="77777777">
        <w:trPr>
          <w:trHeight w:val="2205"/>
        </w:trPr>
        <w:tc>
          <w:tcPr>
            <w:tcW w:w="94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F1" w14:textId="77777777" w:rsidR="00031725" w:rsidRDefault="00000000">
            <w:pPr>
              <w:spacing w:after="0"/>
              <w:rPr>
                <w:b/>
                <w:bCs/>
                <w:sz w:val="18"/>
                <w:szCs w:val="18"/>
              </w:rPr>
            </w:pPr>
            <w:r>
              <w:rPr>
                <w:b/>
                <w:bCs/>
                <w:sz w:val="18"/>
                <w:szCs w:val="18"/>
              </w:rPr>
              <w:lastRenderedPageBreak/>
              <w:t>C3</w:t>
            </w:r>
          </w:p>
        </w:tc>
        <w:tc>
          <w:tcPr>
            <w:tcW w:w="160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F2" w14:textId="77777777" w:rsidR="00031725" w:rsidRDefault="00000000">
            <w:pPr>
              <w:spacing w:after="0"/>
              <w:rPr>
                <w:b/>
                <w:bCs/>
                <w:sz w:val="18"/>
                <w:szCs w:val="18"/>
              </w:rPr>
            </w:pPr>
            <w:r>
              <w:rPr>
                <w:b/>
                <w:bCs/>
                <w:sz w:val="18"/>
                <w:szCs w:val="18"/>
              </w:rPr>
              <w:t>Compliance</w:t>
            </w:r>
          </w:p>
        </w:tc>
        <w:tc>
          <w:tcPr>
            <w:tcW w:w="346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F3" w14:textId="77777777" w:rsidR="00031725" w:rsidRDefault="00000000">
            <w:pPr>
              <w:spacing w:after="0"/>
              <w:rPr>
                <w:sz w:val="18"/>
                <w:szCs w:val="18"/>
              </w:rPr>
            </w:pPr>
            <w:r>
              <w:rPr>
                <w:sz w:val="18"/>
                <w:szCs w:val="18"/>
              </w:rPr>
              <w:t>The Data Director must support compliance with funder open data requirements, applicable data protection legislation, institutional data policies, journal data policies and relevant disciplinary community standards. Evidence of compliance must be available on demand across all applicable obligations.</w:t>
            </w:r>
          </w:p>
        </w:tc>
        <w:tc>
          <w:tcPr>
            <w:tcW w:w="300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F4" w14:textId="77777777" w:rsidR="00031725" w:rsidRDefault="00000000">
            <w:pPr>
              <w:spacing w:after="0"/>
              <w:rPr>
                <w:sz w:val="18"/>
                <w:szCs w:val="18"/>
              </w:rPr>
            </w:pPr>
            <w:r>
              <w:rPr>
                <w:sz w:val="18"/>
                <w:szCs w:val="18"/>
              </w:rPr>
              <w:t>Funder mandates, journal policies and institutional requirements increasingly require open, FAIR-aligned data as a condition of grant award or publication. The Data Director must enable researchers and institutions to demonstrate compliance across all applicable obligations without significant manual effort.</w:t>
            </w:r>
          </w:p>
        </w:tc>
      </w:tr>
      <w:tr w:rsidR="00031725" w14:paraId="487228A3" w14:textId="77777777" w:rsidTr="00555B08">
        <w:trPr>
          <w:trHeight w:val="2701"/>
        </w:trPr>
        <w:tc>
          <w:tcPr>
            <w:tcW w:w="945" w:type="dxa"/>
            <w:tcBorders>
              <w:top w:val="single" w:sz="5" w:space="0" w:color="005B52"/>
              <w:left w:val="single" w:sz="5" w:space="0" w:color="005B52"/>
              <w:bottom w:val="single" w:sz="5" w:space="0" w:color="005B52"/>
              <w:right w:val="single" w:sz="5" w:space="0" w:color="005B52"/>
            </w:tcBorders>
            <w:shd w:val="clear" w:color="auto" w:fill="E6F0EF"/>
            <w:tcMar>
              <w:top w:w="80" w:type="dxa"/>
              <w:left w:w="120" w:type="dxa"/>
              <w:bottom w:w="80" w:type="dxa"/>
              <w:right w:w="120" w:type="dxa"/>
            </w:tcMar>
          </w:tcPr>
          <w:p w14:paraId="000002F5" w14:textId="77777777" w:rsidR="00031725" w:rsidRDefault="00000000">
            <w:pPr>
              <w:spacing w:after="0"/>
              <w:rPr>
                <w:b/>
                <w:bCs/>
                <w:sz w:val="18"/>
                <w:szCs w:val="18"/>
              </w:rPr>
            </w:pPr>
            <w:r>
              <w:rPr>
                <w:b/>
                <w:bCs/>
                <w:sz w:val="18"/>
                <w:szCs w:val="18"/>
              </w:rPr>
              <w:t>C4</w:t>
            </w:r>
          </w:p>
        </w:tc>
        <w:tc>
          <w:tcPr>
            <w:tcW w:w="1605" w:type="dxa"/>
            <w:tcBorders>
              <w:top w:val="single" w:sz="5" w:space="0" w:color="005B52"/>
              <w:left w:val="single" w:sz="5" w:space="0" w:color="005B52"/>
              <w:bottom w:val="single" w:sz="5" w:space="0" w:color="005B52"/>
              <w:right w:val="single" w:sz="5" w:space="0" w:color="005B52"/>
            </w:tcBorders>
            <w:shd w:val="clear" w:color="auto" w:fill="E6F0EF"/>
            <w:tcMar>
              <w:top w:w="80" w:type="dxa"/>
              <w:left w:w="120" w:type="dxa"/>
              <w:bottom w:w="80" w:type="dxa"/>
              <w:right w:w="120" w:type="dxa"/>
            </w:tcMar>
          </w:tcPr>
          <w:p w14:paraId="000002F6" w14:textId="77777777" w:rsidR="00031725" w:rsidRDefault="00000000">
            <w:pPr>
              <w:spacing w:after="0"/>
              <w:rPr>
                <w:b/>
                <w:bCs/>
                <w:sz w:val="18"/>
                <w:szCs w:val="18"/>
              </w:rPr>
            </w:pPr>
            <w:r>
              <w:rPr>
                <w:b/>
                <w:bCs/>
                <w:sz w:val="18"/>
                <w:szCs w:val="18"/>
              </w:rPr>
              <w:t>Sovereignty</w:t>
            </w:r>
          </w:p>
        </w:tc>
        <w:tc>
          <w:tcPr>
            <w:tcW w:w="3465" w:type="dxa"/>
            <w:tcBorders>
              <w:top w:val="single" w:sz="5" w:space="0" w:color="005B52"/>
              <w:left w:val="single" w:sz="5" w:space="0" w:color="005B52"/>
              <w:bottom w:val="single" w:sz="5" w:space="0" w:color="005B52"/>
              <w:right w:val="single" w:sz="5" w:space="0" w:color="005B52"/>
            </w:tcBorders>
            <w:shd w:val="clear" w:color="auto" w:fill="E6F0EF"/>
            <w:tcMar>
              <w:top w:w="80" w:type="dxa"/>
              <w:left w:w="120" w:type="dxa"/>
              <w:bottom w:w="80" w:type="dxa"/>
              <w:right w:w="120" w:type="dxa"/>
            </w:tcMar>
          </w:tcPr>
          <w:p w14:paraId="000002F7" w14:textId="77777777" w:rsidR="00031725" w:rsidRDefault="00000000">
            <w:pPr>
              <w:spacing w:after="0"/>
              <w:rPr>
                <w:sz w:val="18"/>
                <w:szCs w:val="18"/>
              </w:rPr>
            </w:pPr>
            <w:r>
              <w:rPr>
                <w:sz w:val="18"/>
                <w:szCs w:val="18"/>
              </w:rPr>
              <w:t>Data and metadata must be stored and processed in jurisdictions compliant with institutional and national sovereignty requirements. Cross-border data transfer must be policy-controlled and auditable. Physical storage location must be constrainable. Location-based access controls must be supported.</w:t>
            </w:r>
          </w:p>
        </w:tc>
        <w:tc>
          <w:tcPr>
            <w:tcW w:w="3000" w:type="dxa"/>
            <w:tcBorders>
              <w:top w:val="single" w:sz="5" w:space="0" w:color="005B52"/>
              <w:left w:val="single" w:sz="5" w:space="0" w:color="005B52"/>
              <w:bottom w:val="single" w:sz="5" w:space="0" w:color="005B52"/>
              <w:right w:val="single" w:sz="5" w:space="0" w:color="005B52"/>
            </w:tcBorders>
            <w:shd w:val="clear" w:color="auto" w:fill="E6F0EF"/>
            <w:tcMar>
              <w:top w:w="80" w:type="dxa"/>
              <w:left w:w="120" w:type="dxa"/>
              <w:bottom w:w="80" w:type="dxa"/>
              <w:right w:w="120" w:type="dxa"/>
            </w:tcMar>
          </w:tcPr>
          <w:p w14:paraId="000002F8" w14:textId="77777777" w:rsidR="00031725" w:rsidRDefault="00000000">
            <w:pPr>
              <w:spacing w:after="0"/>
              <w:rPr>
                <w:sz w:val="18"/>
                <w:szCs w:val="18"/>
              </w:rPr>
            </w:pPr>
            <w:r>
              <w:rPr>
                <w:sz w:val="18"/>
                <w:szCs w:val="18"/>
              </w:rPr>
              <w:t>Institutions operating under national and regional data regulations require assurance that research data does not move outside permitted jurisdictions without appropriate controls, especially for sensitive, embargoed, commercially restricted or Indigenous datasets where sovereignty obligations may be legally or ethically binding.</w:t>
            </w:r>
          </w:p>
        </w:tc>
      </w:tr>
      <w:tr w:rsidR="00031725" w14:paraId="5E8DC72F" w14:textId="77777777">
        <w:trPr>
          <w:trHeight w:val="2010"/>
        </w:trPr>
        <w:tc>
          <w:tcPr>
            <w:tcW w:w="94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F9" w14:textId="77777777" w:rsidR="00031725" w:rsidRDefault="00000000">
            <w:pPr>
              <w:spacing w:after="0"/>
              <w:rPr>
                <w:b/>
                <w:bCs/>
                <w:sz w:val="18"/>
                <w:szCs w:val="18"/>
              </w:rPr>
            </w:pPr>
            <w:r>
              <w:rPr>
                <w:b/>
                <w:bCs/>
                <w:sz w:val="18"/>
                <w:szCs w:val="18"/>
              </w:rPr>
              <w:t>C5</w:t>
            </w:r>
          </w:p>
        </w:tc>
        <w:tc>
          <w:tcPr>
            <w:tcW w:w="160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FA" w14:textId="77777777" w:rsidR="00031725" w:rsidRDefault="00000000">
            <w:pPr>
              <w:spacing w:after="0"/>
              <w:rPr>
                <w:b/>
                <w:bCs/>
                <w:sz w:val="18"/>
                <w:szCs w:val="18"/>
              </w:rPr>
            </w:pPr>
            <w:r>
              <w:rPr>
                <w:b/>
                <w:bCs/>
                <w:sz w:val="18"/>
                <w:szCs w:val="18"/>
              </w:rPr>
              <w:t>Interoperability</w:t>
            </w:r>
          </w:p>
        </w:tc>
        <w:tc>
          <w:tcPr>
            <w:tcW w:w="346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FB" w14:textId="77777777" w:rsidR="00031725" w:rsidRDefault="00000000">
            <w:pPr>
              <w:spacing w:after="0"/>
              <w:rPr>
                <w:sz w:val="18"/>
                <w:szCs w:val="18"/>
              </w:rPr>
            </w:pPr>
            <w:r>
              <w:rPr>
                <w:sz w:val="18"/>
                <w:szCs w:val="18"/>
              </w:rPr>
              <w:t>The system must support established metadata standards, expose open APIs and enable metadata exchange with major repositories and institutional systems without bespoke integration. All Data Director instances must expose a harmonised API for core features to enable inter-Director interactions.</w:t>
            </w:r>
          </w:p>
        </w:tc>
        <w:tc>
          <w:tcPr>
            <w:tcW w:w="300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2FC" w14:textId="77777777" w:rsidR="00031725" w:rsidRDefault="00000000">
            <w:pPr>
              <w:spacing w:after="0"/>
              <w:rPr>
                <w:sz w:val="18"/>
                <w:szCs w:val="18"/>
              </w:rPr>
            </w:pPr>
            <w:r>
              <w:rPr>
                <w:sz w:val="18"/>
                <w:szCs w:val="18"/>
              </w:rPr>
              <w:t>The Data Director’s value depends on working across heterogeneous repository and institutional environments globally. Proprietary formats or closed interfaces would undermine FAIR alignment and limit adoption across systems, regions and institutions worldwide.</w:t>
            </w:r>
          </w:p>
        </w:tc>
      </w:tr>
      <w:tr w:rsidR="00031725" w14:paraId="001F4B57" w14:textId="77777777">
        <w:trPr>
          <w:trHeight w:val="1800"/>
        </w:trPr>
        <w:tc>
          <w:tcPr>
            <w:tcW w:w="945" w:type="dxa"/>
            <w:tcBorders>
              <w:top w:val="single" w:sz="5" w:space="0" w:color="005B52"/>
              <w:left w:val="single" w:sz="5" w:space="0" w:color="005B52"/>
              <w:bottom w:val="single" w:sz="5" w:space="0" w:color="005B52"/>
              <w:right w:val="single" w:sz="5" w:space="0" w:color="005B52"/>
            </w:tcBorders>
            <w:shd w:val="clear" w:color="auto" w:fill="E6F0EF"/>
            <w:tcMar>
              <w:top w:w="80" w:type="dxa"/>
              <w:left w:w="120" w:type="dxa"/>
              <w:bottom w:w="80" w:type="dxa"/>
              <w:right w:w="120" w:type="dxa"/>
            </w:tcMar>
          </w:tcPr>
          <w:p w14:paraId="000002FD" w14:textId="77777777" w:rsidR="00031725" w:rsidRDefault="00000000">
            <w:pPr>
              <w:spacing w:after="0"/>
              <w:rPr>
                <w:b/>
                <w:bCs/>
                <w:sz w:val="18"/>
                <w:szCs w:val="18"/>
              </w:rPr>
            </w:pPr>
            <w:r>
              <w:rPr>
                <w:b/>
                <w:bCs/>
                <w:sz w:val="18"/>
                <w:szCs w:val="18"/>
              </w:rPr>
              <w:t>C6</w:t>
            </w:r>
          </w:p>
        </w:tc>
        <w:tc>
          <w:tcPr>
            <w:tcW w:w="1605" w:type="dxa"/>
            <w:tcBorders>
              <w:top w:val="single" w:sz="5" w:space="0" w:color="005B52"/>
              <w:left w:val="single" w:sz="5" w:space="0" w:color="005B52"/>
              <w:bottom w:val="single" w:sz="5" w:space="0" w:color="005B52"/>
              <w:right w:val="single" w:sz="5" w:space="0" w:color="005B52"/>
            </w:tcBorders>
            <w:shd w:val="clear" w:color="auto" w:fill="E6F0EF"/>
            <w:tcMar>
              <w:top w:w="80" w:type="dxa"/>
              <w:left w:w="120" w:type="dxa"/>
              <w:bottom w:w="80" w:type="dxa"/>
              <w:right w:w="120" w:type="dxa"/>
            </w:tcMar>
          </w:tcPr>
          <w:p w14:paraId="000002FE" w14:textId="77777777" w:rsidR="00031725" w:rsidRDefault="00000000">
            <w:pPr>
              <w:spacing w:after="0"/>
              <w:rPr>
                <w:b/>
                <w:bCs/>
                <w:sz w:val="18"/>
                <w:szCs w:val="18"/>
              </w:rPr>
            </w:pPr>
            <w:r>
              <w:rPr>
                <w:b/>
                <w:bCs/>
                <w:sz w:val="18"/>
                <w:szCs w:val="18"/>
              </w:rPr>
              <w:t>Accessibility</w:t>
            </w:r>
          </w:p>
        </w:tc>
        <w:tc>
          <w:tcPr>
            <w:tcW w:w="3465" w:type="dxa"/>
            <w:tcBorders>
              <w:top w:val="single" w:sz="5" w:space="0" w:color="005B52"/>
              <w:left w:val="single" w:sz="5" w:space="0" w:color="005B52"/>
              <w:bottom w:val="single" w:sz="5" w:space="0" w:color="005B52"/>
              <w:right w:val="single" w:sz="5" w:space="0" w:color="005B52"/>
            </w:tcBorders>
            <w:shd w:val="clear" w:color="auto" w:fill="E6F0EF"/>
            <w:tcMar>
              <w:top w:w="80" w:type="dxa"/>
              <w:left w:w="120" w:type="dxa"/>
              <w:bottom w:w="80" w:type="dxa"/>
              <w:right w:w="120" w:type="dxa"/>
            </w:tcMar>
          </w:tcPr>
          <w:p w14:paraId="000002FF" w14:textId="77777777" w:rsidR="00031725" w:rsidRDefault="00000000">
            <w:pPr>
              <w:spacing w:after="0"/>
              <w:rPr>
                <w:sz w:val="18"/>
                <w:szCs w:val="18"/>
              </w:rPr>
            </w:pPr>
            <w:r>
              <w:rPr>
                <w:sz w:val="18"/>
                <w:szCs w:val="18"/>
              </w:rPr>
              <w:t>The Data Director must meet recognised international accessibility standards across all user interfaces, including WCAG 2.1 as a minimum baseline. Documentation and guidance must be available in accessible formats and comply with applicable national accessibility legislation.</w:t>
            </w:r>
          </w:p>
        </w:tc>
        <w:tc>
          <w:tcPr>
            <w:tcW w:w="3000" w:type="dxa"/>
            <w:tcBorders>
              <w:top w:val="single" w:sz="5" w:space="0" w:color="005B52"/>
              <w:left w:val="single" w:sz="5" w:space="0" w:color="005B52"/>
              <w:bottom w:val="single" w:sz="5" w:space="0" w:color="005B52"/>
              <w:right w:val="single" w:sz="5" w:space="0" w:color="005B52"/>
            </w:tcBorders>
            <w:shd w:val="clear" w:color="auto" w:fill="E6F0EF"/>
            <w:tcMar>
              <w:top w:w="80" w:type="dxa"/>
              <w:left w:w="120" w:type="dxa"/>
              <w:bottom w:w="80" w:type="dxa"/>
              <w:right w:w="120" w:type="dxa"/>
            </w:tcMar>
          </w:tcPr>
          <w:p w14:paraId="00000300" w14:textId="77777777" w:rsidR="00031725" w:rsidRDefault="00000000">
            <w:pPr>
              <w:spacing w:after="0"/>
              <w:rPr>
                <w:sz w:val="18"/>
                <w:szCs w:val="18"/>
              </w:rPr>
            </w:pPr>
            <w:r>
              <w:rPr>
                <w:sz w:val="18"/>
                <w:szCs w:val="18"/>
              </w:rPr>
              <w:t>The Data Director will be used by a diverse global research community. Accessibility compliance is a legal requirement in many jurisdictions and reflects a commitment to inclusive research practice.</w:t>
            </w:r>
          </w:p>
        </w:tc>
      </w:tr>
      <w:tr w:rsidR="00031725" w14:paraId="4B9A0659" w14:textId="77777777">
        <w:trPr>
          <w:trHeight w:val="3030"/>
        </w:trPr>
        <w:tc>
          <w:tcPr>
            <w:tcW w:w="94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301" w14:textId="77777777" w:rsidR="00031725" w:rsidRDefault="00000000">
            <w:pPr>
              <w:spacing w:after="0"/>
              <w:rPr>
                <w:b/>
                <w:bCs/>
                <w:sz w:val="18"/>
                <w:szCs w:val="18"/>
              </w:rPr>
            </w:pPr>
            <w:r>
              <w:rPr>
                <w:b/>
                <w:bCs/>
                <w:sz w:val="18"/>
                <w:szCs w:val="18"/>
              </w:rPr>
              <w:lastRenderedPageBreak/>
              <w:t>C7</w:t>
            </w:r>
          </w:p>
        </w:tc>
        <w:tc>
          <w:tcPr>
            <w:tcW w:w="160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302" w14:textId="77777777" w:rsidR="00031725" w:rsidRDefault="00000000">
            <w:pPr>
              <w:spacing w:after="0"/>
              <w:rPr>
                <w:b/>
                <w:bCs/>
                <w:sz w:val="18"/>
                <w:szCs w:val="18"/>
              </w:rPr>
            </w:pPr>
            <w:r>
              <w:rPr>
                <w:b/>
                <w:bCs/>
                <w:sz w:val="18"/>
                <w:szCs w:val="18"/>
              </w:rPr>
              <w:t>Reliability</w:t>
            </w:r>
          </w:p>
        </w:tc>
        <w:tc>
          <w:tcPr>
            <w:tcW w:w="346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303" w14:textId="77777777" w:rsidR="00031725" w:rsidRDefault="00000000">
            <w:pPr>
              <w:spacing w:after="0"/>
              <w:rPr>
                <w:sz w:val="18"/>
                <w:szCs w:val="18"/>
              </w:rPr>
            </w:pPr>
            <w:r>
              <w:rPr>
                <w:sz w:val="18"/>
                <w:szCs w:val="18"/>
              </w:rPr>
              <w:t>The Data Director must achieve a minimum of 99.5% uptime during agreed service hours for service-based deployments. Implementing organisations deploying the Data Director as a local or on-demand tool should calibrate reliability targets to their deployment context and document any departure from this target with justification, consistent with Section 5.5. All metadata submission and deposit workflows must complete successfully or fail gracefully with a clear error state, providing justification and suggested next steps.</w:t>
            </w:r>
          </w:p>
        </w:tc>
        <w:tc>
          <w:tcPr>
            <w:tcW w:w="300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304" w14:textId="77777777" w:rsidR="00031725" w:rsidRDefault="00000000">
            <w:pPr>
              <w:spacing w:after="0"/>
              <w:rPr>
                <w:sz w:val="18"/>
                <w:szCs w:val="18"/>
              </w:rPr>
            </w:pPr>
            <w:r>
              <w:rPr>
                <w:sz w:val="18"/>
                <w:szCs w:val="18"/>
              </w:rPr>
              <w:t>Researchers rely on the Data Director at critical points in the publication workflow. Unplanned downtime or silent failures at point of submission could delay publication and compromise funder compliance. Reliability and availability are related but distinct: C7 addresses successful completion of workflows and uptime targets; C9 addresses the hours and time zones across which the system must be accessible.</w:t>
            </w:r>
          </w:p>
        </w:tc>
      </w:tr>
      <w:tr w:rsidR="00031725" w14:paraId="6EF25195" w14:textId="77777777">
        <w:trPr>
          <w:trHeight w:val="3225"/>
        </w:trPr>
        <w:tc>
          <w:tcPr>
            <w:tcW w:w="945" w:type="dxa"/>
            <w:tcBorders>
              <w:top w:val="single" w:sz="5" w:space="0" w:color="005B52"/>
              <w:left w:val="single" w:sz="5" w:space="0" w:color="005B52"/>
              <w:bottom w:val="single" w:sz="5" w:space="0" w:color="005B52"/>
              <w:right w:val="single" w:sz="5" w:space="0" w:color="005B52"/>
            </w:tcBorders>
            <w:shd w:val="clear" w:color="auto" w:fill="E6F0EF"/>
            <w:tcMar>
              <w:top w:w="80" w:type="dxa"/>
              <w:left w:w="120" w:type="dxa"/>
              <w:bottom w:w="80" w:type="dxa"/>
              <w:right w:w="120" w:type="dxa"/>
            </w:tcMar>
          </w:tcPr>
          <w:p w14:paraId="00000305" w14:textId="77777777" w:rsidR="00031725" w:rsidRDefault="00000000">
            <w:pPr>
              <w:spacing w:after="0"/>
              <w:rPr>
                <w:b/>
                <w:bCs/>
                <w:sz w:val="18"/>
                <w:szCs w:val="18"/>
              </w:rPr>
            </w:pPr>
            <w:r>
              <w:rPr>
                <w:b/>
                <w:bCs/>
                <w:sz w:val="18"/>
                <w:szCs w:val="18"/>
              </w:rPr>
              <w:t>C8</w:t>
            </w:r>
          </w:p>
        </w:tc>
        <w:tc>
          <w:tcPr>
            <w:tcW w:w="1605" w:type="dxa"/>
            <w:tcBorders>
              <w:top w:val="single" w:sz="5" w:space="0" w:color="005B52"/>
              <w:left w:val="single" w:sz="5" w:space="0" w:color="005B52"/>
              <w:bottom w:val="single" w:sz="5" w:space="0" w:color="005B52"/>
              <w:right w:val="single" w:sz="5" w:space="0" w:color="005B52"/>
            </w:tcBorders>
            <w:shd w:val="clear" w:color="auto" w:fill="E6F0EF"/>
            <w:tcMar>
              <w:top w:w="80" w:type="dxa"/>
              <w:left w:w="120" w:type="dxa"/>
              <w:bottom w:w="80" w:type="dxa"/>
              <w:right w:w="120" w:type="dxa"/>
            </w:tcMar>
          </w:tcPr>
          <w:p w14:paraId="00000306" w14:textId="77777777" w:rsidR="00031725" w:rsidRDefault="00000000">
            <w:pPr>
              <w:spacing w:after="0"/>
              <w:rPr>
                <w:b/>
                <w:bCs/>
                <w:sz w:val="18"/>
                <w:szCs w:val="18"/>
              </w:rPr>
            </w:pPr>
            <w:r>
              <w:rPr>
                <w:b/>
                <w:bCs/>
                <w:sz w:val="18"/>
                <w:szCs w:val="18"/>
              </w:rPr>
              <w:t>Resiliency</w:t>
            </w:r>
          </w:p>
        </w:tc>
        <w:tc>
          <w:tcPr>
            <w:tcW w:w="3465" w:type="dxa"/>
            <w:tcBorders>
              <w:top w:val="single" w:sz="5" w:space="0" w:color="005B52"/>
              <w:left w:val="single" w:sz="5" w:space="0" w:color="005B52"/>
              <w:bottom w:val="single" w:sz="5" w:space="0" w:color="005B52"/>
              <w:right w:val="single" w:sz="5" w:space="0" w:color="005B52"/>
            </w:tcBorders>
            <w:shd w:val="clear" w:color="auto" w:fill="E6F0EF"/>
            <w:tcMar>
              <w:top w:w="80" w:type="dxa"/>
              <w:left w:w="120" w:type="dxa"/>
              <w:bottom w:w="80" w:type="dxa"/>
              <w:right w:w="120" w:type="dxa"/>
            </w:tcMar>
          </w:tcPr>
          <w:p w14:paraId="00000307" w14:textId="77777777" w:rsidR="00031725" w:rsidRDefault="00000000">
            <w:pPr>
              <w:spacing w:after="0"/>
              <w:rPr>
                <w:sz w:val="18"/>
                <w:szCs w:val="18"/>
              </w:rPr>
            </w:pPr>
            <w:r>
              <w:rPr>
                <w:sz w:val="18"/>
                <w:szCs w:val="18"/>
              </w:rPr>
              <w:t>The Data Director must recover automatically from component failures without data loss. All AI agent actions on metadata must be reversible, with rollback to the last verified metadata state supported. Any failure mid-process must not result in corrupt or partial metadata records that compromise data integrity. Where an action has been explicitly confirmed as irreversible by an authorised human under C13, recoverability to a prior state may not apply; this must be logged and disclosed to the user at the point of confirmation.</w:t>
            </w:r>
          </w:p>
        </w:tc>
        <w:tc>
          <w:tcPr>
            <w:tcW w:w="3000" w:type="dxa"/>
            <w:tcBorders>
              <w:top w:val="single" w:sz="5" w:space="0" w:color="005B52"/>
              <w:left w:val="single" w:sz="5" w:space="0" w:color="005B52"/>
              <w:bottom w:val="single" w:sz="5" w:space="0" w:color="005B52"/>
              <w:right w:val="single" w:sz="5" w:space="0" w:color="005B52"/>
            </w:tcBorders>
            <w:shd w:val="clear" w:color="auto" w:fill="E6F0EF"/>
            <w:tcMar>
              <w:top w:w="80" w:type="dxa"/>
              <w:left w:w="120" w:type="dxa"/>
              <w:bottom w:w="80" w:type="dxa"/>
              <w:right w:w="120" w:type="dxa"/>
            </w:tcMar>
          </w:tcPr>
          <w:p w14:paraId="00000308" w14:textId="77777777" w:rsidR="00031725" w:rsidRDefault="00000000">
            <w:pPr>
              <w:spacing w:after="0"/>
              <w:rPr>
                <w:sz w:val="18"/>
                <w:szCs w:val="18"/>
              </w:rPr>
            </w:pPr>
            <w:r>
              <w:rPr>
                <w:sz w:val="18"/>
                <w:szCs w:val="18"/>
              </w:rPr>
              <w:t>Metadata creation and transformation workflows involve multi-step agentic AI processes where partial completion is potentially more harmful than complete failure. Corrupt or incomplete metadata records could propagate errors across repositories and undermine researcher trust in AI-generated outputs.</w:t>
            </w:r>
          </w:p>
        </w:tc>
      </w:tr>
      <w:tr w:rsidR="00031725" w14:paraId="6130B3C4" w14:textId="77777777">
        <w:trPr>
          <w:trHeight w:val="2010"/>
        </w:trPr>
        <w:tc>
          <w:tcPr>
            <w:tcW w:w="94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309" w14:textId="77777777" w:rsidR="00031725" w:rsidRDefault="00000000">
            <w:pPr>
              <w:spacing w:after="0"/>
              <w:rPr>
                <w:b/>
                <w:bCs/>
                <w:sz w:val="18"/>
                <w:szCs w:val="18"/>
              </w:rPr>
            </w:pPr>
            <w:r>
              <w:rPr>
                <w:b/>
                <w:bCs/>
                <w:sz w:val="18"/>
                <w:szCs w:val="18"/>
              </w:rPr>
              <w:t>C9</w:t>
            </w:r>
          </w:p>
        </w:tc>
        <w:tc>
          <w:tcPr>
            <w:tcW w:w="160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30A" w14:textId="77777777" w:rsidR="00031725" w:rsidRDefault="00000000">
            <w:pPr>
              <w:spacing w:after="0"/>
              <w:rPr>
                <w:b/>
                <w:bCs/>
                <w:sz w:val="18"/>
                <w:szCs w:val="18"/>
              </w:rPr>
            </w:pPr>
            <w:r>
              <w:rPr>
                <w:b/>
                <w:bCs/>
                <w:sz w:val="18"/>
                <w:szCs w:val="18"/>
              </w:rPr>
              <w:t>Availability</w:t>
            </w:r>
          </w:p>
        </w:tc>
        <w:tc>
          <w:tcPr>
            <w:tcW w:w="346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30B" w14:textId="77777777" w:rsidR="00031725" w:rsidRDefault="00000000">
            <w:pPr>
              <w:spacing w:after="0"/>
              <w:rPr>
                <w:sz w:val="18"/>
                <w:szCs w:val="18"/>
              </w:rPr>
            </w:pPr>
            <w:r>
              <w:rPr>
                <w:sz w:val="18"/>
                <w:szCs w:val="18"/>
              </w:rPr>
              <w:t>The system must be available 24/7 to support researchers across time zones and at submission deadlines. Planned maintenance windows must be communicated in advance and minimised.</w:t>
            </w:r>
          </w:p>
        </w:tc>
        <w:tc>
          <w:tcPr>
            <w:tcW w:w="300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30C" w14:textId="77777777" w:rsidR="00031725" w:rsidRDefault="00000000">
            <w:pPr>
              <w:spacing w:after="0"/>
              <w:rPr>
                <w:sz w:val="18"/>
                <w:szCs w:val="18"/>
              </w:rPr>
            </w:pPr>
            <w:r>
              <w:rPr>
                <w:sz w:val="18"/>
                <w:szCs w:val="18"/>
              </w:rPr>
              <w:t>Research publication and data deposit activity is not confined to working hours. Grant deadlines and journal publication schedules require the Data Director to be accessible at any time. 24/7 availability also enables international cooperation across institutions.</w:t>
            </w:r>
          </w:p>
        </w:tc>
      </w:tr>
      <w:tr w:rsidR="00031725" w14:paraId="246D62F6" w14:textId="77777777">
        <w:trPr>
          <w:trHeight w:val="2010"/>
        </w:trPr>
        <w:tc>
          <w:tcPr>
            <w:tcW w:w="945" w:type="dxa"/>
            <w:tcBorders>
              <w:top w:val="single" w:sz="5" w:space="0" w:color="005B52"/>
              <w:left w:val="single" w:sz="5" w:space="0" w:color="005B52"/>
              <w:bottom w:val="single" w:sz="5" w:space="0" w:color="005B52"/>
              <w:right w:val="single" w:sz="5" w:space="0" w:color="005B52"/>
            </w:tcBorders>
            <w:shd w:val="clear" w:color="auto" w:fill="E6F0EF"/>
            <w:tcMar>
              <w:top w:w="80" w:type="dxa"/>
              <w:left w:w="120" w:type="dxa"/>
              <w:bottom w:w="80" w:type="dxa"/>
              <w:right w:w="120" w:type="dxa"/>
            </w:tcMar>
          </w:tcPr>
          <w:p w14:paraId="0000030D" w14:textId="77777777" w:rsidR="00031725" w:rsidRDefault="00000000">
            <w:pPr>
              <w:spacing w:after="0"/>
              <w:rPr>
                <w:b/>
                <w:bCs/>
                <w:sz w:val="18"/>
                <w:szCs w:val="18"/>
              </w:rPr>
            </w:pPr>
            <w:r>
              <w:rPr>
                <w:b/>
                <w:bCs/>
                <w:sz w:val="18"/>
                <w:szCs w:val="18"/>
              </w:rPr>
              <w:t>C10</w:t>
            </w:r>
          </w:p>
        </w:tc>
        <w:tc>
          <w:tcPr>
            <w:tcW w:w="1605" w:type="dxa"/>
            <w:tcBorders>
              <w:top w:val="single" w:sz="5" w:space="0" w:color="005B52"/>
              <w:left w:val="single" w:sz="5" w:space="0" w:color="005B52"/>
              <w:bottom w:val="single" w:sz="5" w:space="0" w:color="005B52"/>
              <w:right w:val="single" w:sz="5" w:space="0" w:color="005B52"/>
            </w:tcBorders>
            <w:shd w:val="clear" w:color="auto" w:fill="E6F0EF"/>
            <w:tcMar>
              <w:top w:w="80" w:type="dxa"/>
              <w:left w:w="120" w:type="dxa"/>
              <w:bottom w:w="80" w:type="dxa"/>
              <w:right w:w="120" w:type="dxa"/>
            </w:tcMar>
          </w:tcPr>
          <w:p w14:paraId="0000030E" w14:textId="77777777" w:rsidR="00031725" w:rsidRDefault="00000000">
            <w:pPr>
              <w:spacing w:after="0"/>
              <w:rPr>
                <w:b/>
                <w:bCs/>
                <w:sz w:val="18"/>
                <w:szCs w:val="18"/>
              </w:rPr>
            </w:pPr>
            <w:r>
              <w:rPr>
                <w:b/>
                <w:bCs/>
                <w:sz w:val="18"/>
                <w:szCs w:val="18"/>
              </w:rPr>
              <w:t>Performance</w:t>
            </w:r>
          </w:p>
        </w:tc>
        <w:tc>
          <w:tcPr>
            <w:tcW w:w="3465" w:type="dxa"/>
            <w:tcBorders>
              <w:top w:val="single" w:sz="5" w:space="0" w:color="005B52"/>
              <w:left w:val="single" w:sz="5" w:space="0" w:color="005B52"/>
              <w:bottom w:val="single" w:sz="5" w:space="0" w:color="005B52"/>
              <w:right w:val="single" w:sz="5" w:space="0" w:color="005B52"/>
            </w:tcBorders>
            <w:shd w:val="clear" w:color="auto" w:fill="E6F0EF"/>
            <w:tcMar>
              <w:top w:w="80" w:type="dxa"/>
              <w:left w:w="120" w:type="dxa"/>
              <w:bottom w:w="80" w:type="dxa"/>
              <w:right w:w="120" w:type="dxa"/>
            </w:tcMar>
          </w:tcPr>
          <w:p w14:paraId="0000030F" w14:textId="77777777" w:rsidR="00031725" w:rsidRDefault="00000000">
            <w:pPr>
              <w:spacing w:after="0"/>
              <w:rPr>
                <w:sz w:val="18"/>
                <w:szCs w:val="18"/>
              </w:rPr>
            </w:pPr>
            <w:r>
              <w:rPr>
                <w:sz w:val="18"/>
                <w:szCs w:val="18"/>
              </w:rPr>
              <w:t>Metadata generation, validation and repository recommendation must provide visible progress feedback. Response times must be appropriate to operation complexity. Bulk operations must be processed asynchronously with user notification on completion.</w:t>
            </w:r>
          </w:p>
        </w:tc>
        <w:tc>
          <w:tcPr>
            <w:tcW w:w="3000" w:type="dxa"/>
            <w:tcBorders>
              <w:top w:val="single" w:sz="5" w:space="0" w:color="005B52"/>
              <w:left w:val="single" w:sz="5" w:space="0" w:color="005B52"/>
              <w:bottom w:val="single" w:sz="5" w:space="0" w:color="005B52"/>
              <w:right w:val="single" w:sz="5" w:space="0" w:color="005B52"/>
            </w:tcBorders>
            <w:shd w:val="clear" w:color="auto" w:fill="E6F0EF"/>
            <w:tcMar>
              <w:top w:w="80" w:type="dxa"/>
              <w:left w:w="120" w:type="dxa"/>
              <w:bottom w:w="80" w:type="dxa"/>
              <w:right w:w="120" w:type="dxa"/>
            </w:tcMar>
          </w:tcPr>
          <w:p w14:paraId="00000310" w14:textId="77777777" w:rsidR="00031725" w:rsidRDefault="00000000">
            <w:pPr>
              <w:spacing w:after="0"/>
              <w:rPr>
                <w:sz w:val="18"/>
                <w:szCs w:val="18"/>
              </w:rPr>
            </w:pPr>
            <w:r>
              <w:rPr>
                <w:sz w:val="18"/>
                <w:szCs w:val="18"/>
              </w:rPr>
              <w:t>Researchers interact with the Data Director at critical points in the publication workflow. Performance must be predictable and transparent. Slow or unpredictable performance without feedback will reduce adoption and create bottlenecks at publication.</w:t>
            </w:r>
          </w:p>
        </w:tc>
      </w:tr>
      <w:tr w:rsidR="00031725" w14:paraId="137A3B68" w14:textId="77777777">
        <w:trPr>
          <w:trHeight w:val="4245"/>
        </w:trPr>
        <w:tc>
          <w:tcPr>
            <w:tcW w:w="94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311" w14:textId="77777777" w:rsidR="00031725" w:rsidRDefault="00000000">
            <w:pPr>
              <w:spacing w:after="0"/>
              <w:rPr>
                <w:b/>
                <w:bCs/>
                <w:sz w:val="18"/>
                <w:szCs w:val="18"/>
              </w:rPr>
            </w:pPr>
            <w:r>
              <w:rPr>
                <w:b/>
                <w:bCs/>
                <w:sz w:val="18"/>
                <w:szCs w:val="18"/>
              </w:rPr>
              <w:lastRenderedPageBreak/>
              <w:t>C11</w:t>
            </w:r>
          </w:p>
        </w:tc>
        <w:tc>
          <w:tcPr>
            <w:tcW w:w="160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312" w14:textId="77777777" w:rsidR="00031725" w:rsidRDefault="00000000">
            <w:pPr>
              <w:spacing w:after="0"/>
              <w:rPr>
                <w:b/>
                <w:bCs/>
                <w:sz w:val="18"/>
                <w:szCs w:val="18"/>
              </w:rPr>
            </w:pPr>
            <w:r>
              <w:rPr>
                <w:b/>
                <w:bCs/>
                <w:sz w:val="18"/>
                <w:szCs w:val="18"/>
              </w:rPr>
              <w:t>Scalability</w:t>
            </w:r>
          </w:p>
        </w:tc>
        <w:tc>
          <w:tcPr>
            <w:tcW w:w="346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313" w14:textId="77777777" w:rsidR="00031725" w:rsidRDefault="00000000">
            <w:pPr>
              <w:spacing w:after="0"/>
              <w:rPr>
                <w:sz w:val="18"/>
                <w:szCs w:val="18"/>
              </w:rPr>
            </w:pPr>
            <w:r>
              <w:rPr>
                <w:sz w:val="18"/>
                <w:szCs w:val="18"/>
              </w:rPr>
              <w:t>The Data Director must support growing volumes of datasets, metadata records and concurrent users without performance degradation, and must scale horizontally to meet regional or national demand. Infrastructure must be defined and managed as code to ensure consistent, reproducible and auditable deployment across institutional contexts. Infrastructure as Code approaches support version control of deployment configurations, reduce configuration drift between instances, and enable sovereignty-compliant deployment through jurisdiction-specific configuration profiles.</w:t>
            </w:r>
          </w:p>
        </w:tc>
        <w:tc>
          <w:tcPr>
            <w:tcW w:w="300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314" w14:textId="77777777" w:rsidR="00031725" w:rsidRDefault="00000000">
            <w:pPr>
              <w:spacing w:after="0"/>
              <w:rPr>
                <w:sz w:val="18"/>
                <w:szCs w:val="18"/>
              </w:rPr>
            </w:pPr>
            <w:r>
              <w:rPr>
                <w:sz w:val="18"/>
                <w:szCs w:val="18"/>
              </w:rPr>
              <w:t>The Data Director is intended for adoption across multiple institutions and research communities. Usage will grow significantly as FAIR adoption increases and more repositories are onboarded. Individual Data Director instances will have capacity limits; implementations must be designed to support federation and growth across the wider ecosystem. Infrastructure as Code is particularly important in a multi-institution ecosystem where deployment consistency directly affects interoperability, reliability and data sovereignty compliance. The cost implications of horizontal scaling must be considered alongside C17 (Affordability).</w:t>
            </w:r>
          </w:p>
        </w:tc>
      </w:tr>
      <w:tr w:rsidR="00031725" w14:paraId="5345B58F" w14:textId="77777777">
        <w:trPr>
          <w:trHeight w:val="2820"/>
        </w:trPr>
        <w:tc>
          <w:tcPr>
            <w:tcW w:w="945" w:type="dxa"/>
            <w:tcBorders>
              <w:top w:val="single" w:sz="5" w:space="0" w:color="005B52"/>
              <w:left w:val="single" w:sz="5" w:space="0" w:color="005B52"/>
              <w:bottom w:val="single" w:sz="5" w:space="0" w:color="005B52"/>
              <w:right w:val="single" w:sz="5" w:space="0" w:color="005B52"/>
            </w:tcBorders>
            <w:shd w:val="clear" w:color="auto" w:fill="E6F0EF"/>
            <w:tcMar>
              <w:top w:w="80" w:type="dxa"/>
              <w:left w:w="120" w:type="dxa"/>
              <w:bottom w:w="80" w:type="dxa"/>
              <w:right w:w="120" w:type="dxa"/>
            </w:tcMar>
          </w:tcPr>
          <w:p w14:paraId="00000315" w14:textId="77777777" w:rsidR="00031725" w:rsidRDefault="00000000">
            <w:pPr>
              <w:spacing w:after="0"/>
              <w:rPr>
                <w:b/>
                <w:bCs/>
                <w:sz w:val="18"/>
                <w:szCs w:val="18"/>
              </w:rPr>
            </w:pPr>
            <w:r>
              <w:rPr>
                <w:b/>
                <w:bCs/>
                <w:sz w:val="18"/>
                <w:szCs w:val="18"/>
              </w:rPr>
              <w:t>C12</w:t>
            </w:r>
          </w:p>
        </w:tc>
        <w:tc>
          <w:tcPr>
            <w:tcW w:w="1605" w:type="dxa"/>
            <w:tcBorders>
              <w:top w:val="single" w:sz="5" w:space="0" w:color="005B52"/>
              <w:left w:val="single" w:sz="5" w:space="0" w:color="005B52"/>
              <w:bottom w:val="single" w:sz="5" w:space="0" w:color="005B52"/>
              <w:right w:val="single" w:sz="5" w:space="0" w:color="005B52"/>
            </w:tcBorders>
            <w:shd w:val="clear" w:color="auto" w:fill="E6F0EF"/>
            <w:tcMar>
              <w:top w:w="80" w:type="dxa"/>
              <w:left w:w="120" w:type="dxa"/>
              <w:bottom w:w="80" w:type="dxa"/>
              <w:right w:w="120" w:type="dxa"/>
            </w:tcMar>
          </w:tcPr>
          <w:p w14:paraId="00000316" w14:textId="77777777" w:rsidR="00031725" w:rsidRDefault="00000000">
            <w:pPr>
              <w:spacing w:after="0"/>
              <w:rPr>
                <w:b/>
                <w:bCs/>
                <w:sz w:val="18"/>
                <w:szCs w:val="18"/>
              </w:rPr>
            </w:pPr>
            <w:r>
              <w:rPr>
                <w:b/>
                <w:bCs/>
                <w:sz w:val="18"/>
                <w:szCs w:val="18"/>
              </w:rPr>
              <w:t>Data Governance</w:t>
            </w:r>
          </w:p>
        </w:tc>
        <w:tc>
          <w:tcPr>
            <w:tcW w:w="3465" w:type="dxa"/>
            <w:tcBorders>
              <w:top w:val="single" w:sz="5" w:space="0" w:color="005B52"/>
              <w:left w:val="single" w:sz="5" w:space="0" w:color="005B52"/>
              <w:bottom w:val="single" w:sz="5" w:space="0" w:color="005B52"/>
              <w:right w:val="single" w:sz="5" w:space="0" w:color="005B52"/>
            </w:tcBorders>
            <w:shd w:val="clear" w:color="auto" w:fill="E6F0EF"/>
            <w:tcMar>
              <w:top w:w="80" w:type="dxa"/>
              <w:left w:w="120" w:type="dxa"/>
              <w:bottom w:w="80" w:type="dxa"/>
              <w:right w:w="120" w:type="dxa"/>
            </w:tcMar>
          </w:tcPr>
          <w:p w14:paraId="00000317" w14:textId="77777777" w:rsidR="00031725" w:rsidRDefault="00000000">
            <w:pPr>
              <w:spacing w:after="0"/>
              <w:rPr>
                <w:sz w:val="18"/>
                <w:szCs w:val="18"/>
              </w:rPr>
            </w:pPr>
            <w:r>
              <w:rPr>
                <w:sz w:val="18"/>
                <w:szCs w:val="18"/>
              </w:rPr>
              <w:t>The Data Director must enforce institutional data governance policies including retention schedules, access controls, provenance tracking and audit logging. Governance policies must be machine-readable and AI-ready, drawing on frameworks such as ODRL. Compliance with well-recognised international data governance standards must be evidenced.</w:t>
            </w:r>
          </w:p>
        </w:tc>
        <w:tc>
          <w:tcPr>
            <w:tcW w:w="3000" w:type="dxa"/>
            <w:tcBorders>
              <w:top w:val="single" w:sz="5" w:space="0" w:color="005B52"/>
              <w:left w:val="single" w:sz="5" w:space="0" w:color="005B52"/>
              <w:bottom w:val="single" w:sz="5" w:space="0" w:color="005B52"/>
              <w:right w:val="single" w:sz="5" w:space="0" w:color="005B52"/>
            </w:tcBorders>
            <w:shd w:val="clear" w:color="auto" w:fill="E6F0EF"/>
            <w:tcMar>
              <w:top w:w="80" w:type="dxa"/>
              <w:left w:w="120" w:type="dxa"/>
              <w:bottom w:w="80" w:type="dxa"/>
              <w:right w:w="120" w:type="dxa"/>
            </w:tcMar>
          </w:tcPr>
          <w:p w14:paraId="00000318" w14:textId="77777777" w:rsidR="00031725" w:rsidRDefault="00000000">
            <w:pPr>
              <w:spacing w:after="0"/>
              <w:rPr>
                <w:sz w:val="18"/>
                <w:szCs w:val="18"/>
              </w:rPr>
            </w:pPr>
            <w:r>
              <w:rPr>
                <w:sz w:val="18"/>
                <w:szCs w:val="18"/>
              </w:rPr>
              <w:t>The Data Director operates across institutional boundaries. Each institution must apply and evidence its own governance policies while interoperating with shared community standards. A dedicated governance framework agreement between participating institutions may be required. The scope of the governance audit trail is institutional policy compliance; security audit trails are addressed in C1.</w:t>
            </w:r>
          </w:p>
        </w:tc>
      </w:tr>
      <w:tr w:rsidR="00031725" w14:paraId="3453124E" w14:textId="77777777">
        <w:trPr>
          <w:trHeight w:val="3030"/>
        </w:trPr>
        <w:tc>
          <w:tcPr>
            <w:tcW w:w="94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319" w14:textId="77777777" w:rsidR="00031725" w:rsidRDefault="00000000">
            <w:pPr>
              <w:spacing w:after="0"/>
              <w:rPr>
                <w:b/>
                <w:bCs/>
                <w:sz w:val="18"/>
                <w:szCs w:val="18"/>
              </w:rPr>
            </w:pPr>
            <w:r>
              <w:rPr>
                <w:b/>
                <w:bCs/>
                <w:sz w:val="18"/>
                <w:szCs w:val="18"/>
              </w:rPr>
              <w:t>C13</w:t>
            </w:r>
          </w:p>
        </w:tc>
        <w:tc>
          <w:tcPr>
            <w:tcW w:w="160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31A" w14:textId="77777777" w:rsidR="00031725" w:rsidRDefault="00000000">
            <w:pPr>
              <w:spacing w:after="0"/>
              <w:rPr>
                <w:b/>
                <w:bCs/>
                <w:sz w:val="18"/>
                <w:szCs w:val="18"/>
              </w:rPr>
            </w:pPr>
            <w:r>
              <w:rPr>
                <w:b/>
                <w:bCs/>
                <w:sz w:val="18"/>
                <w:szCs w:val="18"/>
              </w:rPr>
              <w:t>AI Governance</w:t>
            </w:r>
          </w:p>
        </w:tc>
        <w:tc>
          <w:tcPr>
            <w:tcW w:w="346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31B" w14:textId="77777777" w:rsidR="00031725" w:rsidRDefault="00000000">
            <w:pPr>
              <w:spacing w:after="0"/>
              <w:rPr>
                <w:sz w:val="18"/>
                <w:szCs w:val="18"/>
              </w:rPr>
            </w:pPr>
            <w:r>
              <w:rPr>
                <w:sz w:val="18"/>
                <w:szCs w:val="18"/>
              </w:rPr>
              <w:t>All AI agent actions must be logged, attributable to a defined agent identity and subject to human oversight. Irreversible actions including deletion and autocompletion must be blocked by default without explicit human confirmation. The Data Director must comply with recognised international AI governance frameworks and standards. See also Section 6, Principle P4, for the distinction between human-in-the-loop and human-on-the-loop oversight modes.</w:t>
            </w:r>
          </w:p>
        </w:tc>
        <w:tc>
          <w:tcPr>
            <w:tcW w:w="300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31C" w14:textId="77777777" w:rsidR="00031725" w:rsidRDefault="00000000">
            <w:pPr>
              <w:spacing w:after="0"/>
              <w:rPr>
                <w:sz w:val="18"/>
                <w:szCs w:val="18"/>
              </w:rPr>
            </w:pPr>
            <w:r>
              <w:rPr>
                <w:sz w:val="18"/>
                <w:szCs w:val="18"/>
              </w:rPr>
              <w:t>The Data Director uses agentic AI to create, transform and validate metadata. Responsible AI use requires transparent, auditable and controllable agent behaviour in line with emerging national and international AI governance frameworks. Governance must be principle-driven across both data and AI dimensions. See also C14 (Explainability), which addresses human understanding and overrides rights for AI-generated outputs.</w:t>
            </w:r>
          </w:p>
        </w:tc>
      </w:tr>
      <w:tr w:rsidR="00031725" w14:paraId="71F20EA1" w14:textId="77777777">
        <w:trPr>
          <w:trHeight w:val="2820"/>
        </w:trPr>
        <w:tc>
          <w:tcPr>
            <w:tcW w:w="945" w:type="dxa"/>
            <w:tcBorders>
              <w:top w:val="single" w:sz="5" w:space="0" w:color="005B52"/>
              <w:left w:val="single" w:sz="5" w:space="0" w:color="005B52"/>
              <w:bottom w:val="single" w:sz="5" w:space="0" w:color="005B52"/>
              <w:right w:val="single" w:sz="5" w:space="0" w:color="005B52"/>
            </w:tcBorders>
            <w:shd w:val="clear" w:color="auto" w:fill="E6F0EF"/>
            <w:tcMar>
              <w:top w:w="80" w:type="dxa"/>
              <w:left w:w="120" w:type="dxa"/>
              <w:bottom w:w="80" w:type="dxa"/>
              <w:right w:w="120" w:type="dxa"/>
            </w:tcMar>
          </w:tcPr>
          <w:p w14:paraId="0000031D" w14:textId="77777777" w:rsidR="00031725" w:rsidRDefault="00000000">
            <w:pPr>
              <w:spacing w:after="0"/>
              <w:rPr>
                <w:b/>
                <w:bCs/>
                <w:sz w:val="18"/>
                <w:szCs w:val="18"/>
              </w:rPr>
            </w:pPr>
            <w:r>
              <w:rPr>
                <w:b/>
                <w:bCs/>
                <w:sz w:val="18"/>
                <w:szCs w:val="18"/>
              </w:rPr>
              <w:lastRenderedPageBreak/>
              <w:t>C14</w:t>
            </w:r>
          </w:p>
        </w:tc>
        <w:tc>
          <w:tcPr>
            <w:tcW w:w="1605" w:type="dxa"/>
            <w:tcBorders>
              <w:top w:val="single" w:sz="5" w:space="0" w:color="005B52"/>
              <w:left w:val="single" w:sz="5" w:space="0" w:color="005B52"/>
              <w:bottom w:val="single" w:sz="5" w:space="0" w:color="005B52"/>
              <w:right w:val="single" w:sz="5" w:space="0" w:color="005B52"/>
            </w:tcBorders>
            <w:shd w:val="clear" w:color="auto" w:fill="E6F0EF"/>
            <w:tcMar>
              <w:top w:w="80" w:type="dxa"/>
              <w:left w:w="120" w:type="dxa"/>
              <w:bottom w:w="80" w:type="dxa"/>
              <w:right w:w="120" w:type="dxa"/>
            </w:tcMar>
          </w:tcPr>
          <w:p w14:paraId="0000031E" w14:textId="77777777" w:rsidR="00031725" w:rsidRDefault="00000000">
            <w:pPr>
              <w:spacing w:after="0"/>
              <w:rPr>
                <w:b/>
                <w:bCs/>
                <w:sz w:val="18"/>
                <w:szCs w:val="18"/>
              </w:rPr>
            </w:pPr>
            <w:r>
              <w:rPr>
                <w:b/>
                <w:bCs/>
                <w:sz w:val="18"/>
                <w:szCs w:val="18"/>
              </w:rPr>
              <w:t>Explainability</w:t>
            </w:r>
          </w:p>
        </w:tc>
        <w:tc>
          <w:tcPr>
            <w:tcW w:w="3465" w:type="dxa"/>
            <w:tcBorders>
              <w:top w:val="single" w:sz="5" w:space="0" w:color="005B52"/>
              <w:left w:val="single" w:sz="5" w:space="0" w:color="005B52"/>
              <w:bottom w:val="single" w:sz="5" w:space="0" w:color="005B52"/>
              <w:right w:val="single" w:sz="5" w:space="0" w:color="005B52"/>
            </w:tcBorders>
            <w:shd w:val="clear" w:color="auto" w:fill="E6F0EF"/>
            <w:tcMar>
              <w:top w:w="80" w:type="dxa"/>
              <w:left w:w="120" w:type="dxa"/>
              <w:bottom w:w="80" w:type="dxa"/>
              <w:right w:w="120" w:type="dxa"/>
            </w:tcMar>
          </w:tcPr>
          <w:p w14:paraId="0000031F" w14:textId="77777777" w:rsidR="00031725" w:rsidRDefault="00000000">
            <w:pPr>
              <w:spacing w:after="0"/>
              <w:rPr>
                <w:sz w:val="18"/>
                <w:szCs w:val="18"/>
              </w:rPr>
            </w:pPr>
            <w:r>
              <w:rPr>
                <w:sz w:val="18"/>
                <w:szCs w:val="18"/>
              </w:rPr>
              <w:t>The system must provide human-readable and understandable explanations for all AI-generated metadata, recommendations and decisions. Designated human-in-the-loop roles must be able to challenge and override AI outputs within a defined governance layer. A log of agentic AI reasoning steps and decision points must be maintained alongside metadata records for transparency and improvement.</w:t>
            </w:r>
          </w:p>
        </w:tc>
        <w:tc>
          <w:tcPr>
            <w:tcW w:w="3000" w:type="dxa"/>
            <w:tcBorders>
              <w:top w:val="single" w:sz="5" w:space="0" w:color="005B52"/>
              <w:left w:val="single" w:sz="5" w:space="0" w:color="005B52"/>
              <w:bottom w:val="single" w:sz="5" w:space="0" w:color="005B52"/>
              <w:right w:val="single" w:sz="5" w:space="0" w:color="005B52"/>
            </w:tcBorders>
            <w:shd w:val="clear" w:color="auto" w:fill="E6F0EF"/>
            <w:tcMar>
              <w:top w:w="80" w:type="dxa"/>
              <w:left w:w="120" w:type="dxa"/>
              <w:bottom w:w="80" w:type="dxa"/>
              <w:right w:w="120" w:type="dxa"/>
            </w:tcMar>
          </w:tcPr>
          <w:p w14:paraId="00000320" w14:textId="77777777" w:rsidR="00031725" w:rsidRDefault="00000000">
            <w:pPr>
              <w:spacing w:after="0"/>
              <w:rPr>
                <w:sz w:val="18"/>
                <w:szCs w:val="18"/>
              </w:rPr>
            </w:pPr>
            <w:r>
              <w:rPr>
                <w:sz w:val="18"/>
                <w:szCs w:val="18"/>
              </w:rPr>
              <w:t>Researchers and data support professionals need to trust and verify AI-generated outputs before submission. Opaque recommendations reduce confidence and increase the risk of errors in published metadata. Override rights must be role-based and governed rather than open to all users. See also C13 (AI Governance), which addresses logging, attribution and oversight of AI agent actions.</w:t>
            </w:r>
          </w:p>
        </w:tc>
      </w:tr>
      <w:tr w:rsidR="00031725" w14:paraId="6E281D96" w14:textId="77777777">
        <w:trPr>
          <w:trHeight w:val="2820"/>
        </w:trPr>
        <w:tc>
          <w:tcPr>
            <w:tcW w:w="94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321" w14:textId="77777777" w:rsidR="00031725" w:rsidRDefault="00000000">
            <w:pPr>
              <w:spacing w:after="0"/>
              <w:rPr>
                <w:b/>
                <w:bCs/>
                <w:sz w:val="18"/>
                <w:szCs w:val="18"/>
              </w:rPr>
            </w:pPr>
            <w:r>
              <w:rPr>
                <w:b/>
                <w:bCs/>
                <w:sz w:val="18"/>
                <w:szCs w:val="18"/>
              </w:rPr>
              <w:t>C15</w:t>
            </w:r>
          </w:p>
        </w:tc>
        <w:tc>
          <w:tcPr>
            <w:tcW w:w="160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322" w14:textId="77777777" w:rsidR="00031725" w:rsidRDefault="00000000">
            <w:pPr>
              <w:spacing w:after="0"/>
              <w:rPr>
                <w:b/>
                <w:bCs/>
                <w:sz w:val="18"/>
                <w:szCs w:val="18"/>
              </w:rPr>
            </w:pPr>
            <w:r>
              <w:rPr>
                <w:b/>
                <w:bCs/>
                <w:sz w:val="18"/>
                <w:szCs w:val="18"/>
              </w:rPr>
              <w:t>Data and Metadata Quality</w:t>
            </w:r>
          </w:p>
        </w:tc>
        <w:tc>
          <w:tcPr>
            <w:tcW w:w="346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323" w14:textId="77777777" w:rsidR="00031725" w:rsidRDefault="00000000">
            <w:pPr>
              <w:spacing w:after="0"/>
              <w:rPr>
                <w:sz w:val="18"/>
                <w:szCs w:val="18"/>
              </w:rPr>
            </w:pPr>
            <w:r>
              <w:rPr>
                <w:sz w:val="18"/>
                <w:szCs w:val="18"/>
              </w:rPr>
              <w:t>The Data Director must perform quality checks on its own metadata outputs and profile the quality of researcher-supplied input data. AI-generated metadata must meet the same curation standards as manually produced records. The system must evaluate curation readiness before submission. Low-quality or generic outputs must be flagged before submission with human review mandatory.</w:t>
            </w:r>
          </w:p>
        </w:tc>
        <w:tc>
          <w:tcPr>
            <w:tcW w:w="300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324" w14:textId="77777777" w:rsidR="00031725" w:rsidRDefault="00000000">
            <w:pPr>
              <w:spacing w:after="0"/>
              <w:rPr>
                <w:sz w:val="18"/>
                <w:szCs w:val="18"/>
              </w:rPr>
            </w:pPr>
            <w:r>
              <w:rPr>
                <w:sz w:val="18"/>
                <w:szCs w:val="18"/>
              </w:rPr>
              <w:t>Low-quality AI-generated content is increasing across the internet. Metadata is required to be highly curated and precise. Preventing the propagation of generic, inaccurate, or uncurated AI-generated metadata into repositories is a pressing concern. Quality profiling of both AI-generated and researcher-supplied data ensures the system adds value rather than propagating poor-quality inputs.</w:t>
            </w:r>
          </w:p>
        </w:tc>
      </w:tr>
      <w:tr w:rsidR="00031725" w14:paraId="1404014D" w14:textId="77777777">
        <w:trPr>
          <w:trHeight w:val="2625"/>
        </w:trPr>
        <w:tc>
          <w:tcPr>
            <w:tcW w:w="945" w:type="dxa"/>
            <w:tcBorders>
              <w:top w:val="single" w:sz="5" w:space="0" w:color="005B52"/>
              <w:left w:val="single" w:sz="5" w:space="0" w:color="005B52"/>
              <w:bottom w:val="single" w:sz="5" w:space="0" w:color="005B52"/>
              <w:right w:val="single" w:sz="5" w:space="0" w:color="005B52"/>
            </w:tcBorders>
            <w:shd w:val="clear" w:color="auto" w:fill="E6F0EF"/>
            <w:tcMar>
              <w:top w:w="80" w:type="dxa"/>
              <w:left w:w="120" w:type="dxa"/>
              <w:bottom w:w="80" w:type="dxa"/>
              <w:right w:w="120" w:type="dxa"/>
            </w:tcMar>
          </w:tcPr>
          <w:p w14:paraId="00000325" w14:textId="77777777" w:rsidR="00031725" w:rsidRDefault="00000000">
            <w:pPr>
              <w:spacing w:after="0"/>
              <w:rPr>
                <w:b/>
                <w:bCs/>
                <w:sz w:val="18"/>
                <w:szCs w:val="18"/>
              </w:rPr>
            </w:pPr>
            <w:r>
              <w:rPr>
                <w:b/>
                <w:bCs/>
                <w:sz w:val="18"/>
                <w:szCs w:val="18"/>
              </w:rPr>
              <w:t>C16</w:t>
            </w:r>
          </w:p>
        </w:tc>
        <w:tc>
          <w:tcPr>
            <w:tcW w:w="1605" w:type="dxa"/>
            <w:tcBorders>
              <w:top w:val="single" w:sz="5" w:space="0" w:color="005B52"/>
              <w:left w:val="single" w:sz="5" w:space="0" w:color="005B52"/>
              <w:bottom w:val="single" w:sz="5" w:space="0" w:color="005B52"/>
              <w:right w:val="single" w:sz="5" w:space="0" w:color="005B52"/>
            </w:tcBorders>
            <w:shd w:val="clear" w:color="auto" w:fill="E6F0EF"/>
            <w:tcMar>
              <w:top w:w="80" w:type="dxa"/>
              <w:left w:w="120" w:type="dxa"/>
              <w:bottom w:w="80" w:type="dxa"/>
              <w:right w:w="120" w:type="dxa"/>
            </w:tcMar>
          </w:tcPr>
          <w:p w14:paraId="00000326" w14:textId="77777777" w:rsidR="00031725" w:rsidRDefault="00000000">
            <w:pPr>
              <w:spacing w:after="0"/>
              <w:rPr>
                <w:b/>
                <w:bCs/>
                <w:sz w:val="18"/>
                <w:szCs w:val="18"/>
              </w:rPr>
            </w:pPr>
            <w:r>
              <w:rPr>
                <w:b/>
                <w:bCs/>
                <w:sz w:val="18"/>
                <w:szCs w:val="18"/>
              </w:rPr>
              <w:t>Measurability</w:t>
            </w:r>
          </w:p>
        </w:tc>
        <w:tc>
          <w:tcPr>
            <w:tcW w:w="3465" w:type="dxa"/>
            <w:tcBorders>
              <w:top w:val="single" w:sz="5" w:space="0" w:color="005B52"/>
              <w:left w:val="single" w:sz="5" w:space="0" w:color="005B52"/>
              <w:bottom w:val="single" w:sz="5" w:space="0" w:color="005B52"/>
              <w:right w:val="single" w:sz="5" w:space="0" w:color="005B52"/>
            </w:tcBorders>
            <w:shd w:val="clear" w:color="auto" w:fill="E6F0EF"/>
            <w:tcMar>
              <w:top w:w="80" w:type="dxa"/>
              <w:left w:w="120" w:type="dxa"/>
              <w:bottom w:w="80" w:type="dxa"/>
              <w:right w:w="120" w:type="dxa"/>
            </w:tcMar>
          </w:tcPr>
          <w:p w14:paraId="00000327" w14:textId="77777777" w:rsidR="00031725" w:rsidRDefault="00000000">
            <w:pPr>
              <w:spacing w:after="0"/>
              <w:rPr>
                <w:sz w:val="18"/>
                <w:szCs w:val="18"/>
              </w:rPr>
            </w:pPr>
            <w:r>
              <w:rPr>
                <w:sz w:val="18"/>
                <w:szCs w:val="18"/>
              </w:rPr>
              <w:t>The Data Director must collect usage data to measure the impact and usefulness of the tool, provide data for cost and benefit analysis, and track researcher uptake. Metrics must inform future development and enable institutions to justify involvement and subscription.</w:t>
            </w:r>
          </w:p>
        </w:tc>
        <w:tc>
          <w:tcPr>
            <w:tcW w:w="3000" w:type="dxa"/>
            <w:tcBorders>
              <w:top w:val="single" w:sz="5" w:space="0" w:color="005B52"/>
              <w:left w:val="single" w:sz="5" w:space="0" w:color="005B52"/>
              <w:bottom w:val="single" w:sz="5" w:space="0" w:color="005B52"/>
              <w:right w:val="single" w:sz="5" w:space="0" w:color="005B52"/>
            </w:tcBorders>
            <w:shd w:val="clear" w:color="auto" w:fill="E6F0EF"/>
            <w:tcMar>
              <w:top w:w="80" w:type="dxa"/>
              <w:left w:w="120" w:type="dxa"/>
              <w:bottom w:w="80" w:type="dxa"/>
              <w:right w:w="120" w:type="dxa"/>
            </w:tcMar>
          </w:tcPr>
          <w:p w14:paraId="00000328" w14:textId="77777777" w:rsidR="00031725" w:rsidRDefault="00000000">
            <w:pPr>
              <w:spacing w:after="0"/>
              <w:rPr>
                <w:sz w:val="18"/>
                <w:szCs w:val="18"/>
              </w:rPr>
            </w:pPr>
            <w:r>
              <w:rPr>
                <w:sz w:val="18"/>
                <w:szCs w:val="18"/>
              </w:rPr>
              <w:t>The effectiveness and impact of the Data Director must be demonstrable to justify institutional investment and inform future iterations. Uptake of digital research infrastructure requires evidence of value added for researchers across participating institutions and communities. Usage data collection must be designed in compliance with C2 (Privacy) and C4 (Sovereignty).</w:t>
            </w:r>
          </w:p>
        </w:tc>
      </w:tr>
      <w:tr w:rsidR="00031725" w14:paraId="78B2998C" w14:textId="77777777">
        <w:trPr>
          <w:trHeight w:val="3030"/>
        </w:trPr>
        <w:tc>
          <w:tcPr>
            <w:tcW w:w="94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329" w14:textId="77777777" w:rsidR="00031725" w:rsidRDefault="00000000">
            <w:pPr>
              <w:spacing w:after="0"/>
              <w:rPr>
                <w:b/>
                <w:bCs/>
                <w:sz w:val="18"/>
                <w:szCs w:val="18"/>
              </w:rPr>
            </w:pPr>
            <w:r>
              <w:rPr>
                <w:b/>
                <w:bCs/>
                <w:sz w:val="18"/>
                <w:szCs w:val="18"/>
              </w:rPr>
              <w:lastRenderedPageBreak/>
              <w:t>C17</w:t>
            </w:r>
          </w:p>
        </w:tc>
        <w:tc>
          <w:tcPr>
            <w:tcW w:w="160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32A" w14:textId="77777777" w:rsidR="00031725" w:rsidRDefault="00000000">
            <w:pPr>
              <w:spacing w:after="0"/>
              <w:rPr>
                <w:b/>
                <w:bCs/>
                <w:sz w:val="18"/>
                <w:szCs w:val="18"/>
              </w:rPr>
            </w:pPr>
            <w:r>
              <w:rPr>
                <w:b/>
                <w:bCs/>
                <w:sz w:val="18"/>
                <w:szCs w:val="18"/>
              </w:rPr>
              <w:t>Affordability</w:t>
            </w:r>
          </w:p>
        </w:tc>
        <w:tc>
          <w:tcPr>
            <w:tcW w:w="346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32B" w14:textId="77777777" w:rsidR="00031725" w:rsidRDefault="00000000">
            <w:pPr>
              <w:spacing w:after="0"/>
              <w:rPr>
                <w:sz w:val="18"/>
                <w:szCs w:val="18"/>
              </w:rPr>
            </w:pPr>
            <w:r>
              <w:rPr>
                <w:sz w:val="18"/>
                <w:szCs w:val="18"/>
              </w:rPr>
              <w:t>The Data Director must be modular and configurable to support different funding levels and institutional contexts. Agents must not duplicate work, reusing outputs already created or discovered to reduce AI processing costs. Configurable tiers must ensure the system remains accessible to institutions with limited resources and without dedicated data support professionals.</w:t>
            </w:r>
          </w:p>
        </w:tc>
        <w:tc>
          <w:tcPr>
            <w:tcW w:w="300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32C" w14:textId="77777777" w:rsidR="00031725" w:rsidRDefault="00000000">
            <w:pPr>
              <w:spacing w:after="0"/>
              <w:rPr>
                <w:sz w:val="18"/>
                <w:szCs w:val="18"/>
              </w:rPr>
            </w:pPr>
            <w:r>
              <w:rPr>
                <w:sz w:val="18"/>
                <w:szCs w:val="18"/>
              </w:rPr>
              <w:t>The Data Director must not increase the digital divide. Institutions in lower-resource contexts, including those without human data support, must be able to access and sustain the tool. The balance between costs and advantages must be explicitly considered in architectural decisions. The scaling demands of C11 must be weighed against affordability to ensure infrastructure costs do not exclude lower-resource institutions.</w:t>
            </w:r>
          </w:p>
        </w:tc>
      </w:tr>
    </w:tbl>
    <w:p w14:paraId="0000032D" w14:textId="77777777" w:rsidR="00031725" w:rsidRDefault="00000000">
      <w:pPr>
        <w:pStyle w:val="Heading1"/>
        <w:pBdr>
          <w:bottom w:val="single" w:sz="4" w:space="4" w:color="005B52"/>
        </w:pBdr>
      </w:pPr>
      <w:bookmarkStart w:id="29" w:name="_Toc233654404"/>
      <w:r>
        <w:t>8. Process Flow</w:t>
      </w:r>
      <w:bookmarkEnd w:id="29"/>
    </w:p>
    <w:p w14:paraId="0000032E" w14:textId="77777777" w:rsidR="00031725" w:rsidRDefault="00000000">
      <w:r>
        <w:t>This section presents the Data Director workflow as a six-phase process flow. The process flow translates the functional requirements set out in Section 7.1 into a practical, sequential representation of how the Data Director supports researchers and data support professionals across the research data publication lifecycle. It is intended to help implementers understand how the tool's capabilities fit together as a coherent workflow, and to give researchers and data support professionals a clear picture of when and how the tool becomes relevant at each stage of their work.</w:t>
      </w:r>
    </w:p>
    <w:p w14:paraId="0000032F" w14:textId="09E311A6" w:rsidR="00031725" w:rsidRDefault="00000000">
      <w:pPr>
        <w:spacing w:before="240" w:after="240"/>
      </w:pPr>
      <w:r>
        <w:t xml:space="preserve">The process flow was developed iteratively by Working Group members across two facilitated sessions using </w:t>
      </w:r>
      <w:hyperlink r:id="rId77">
        <w:r w:rsidR="00031725">
          <w:rPr>
            <w:color w:val="1155CC"/>
            <w:u w:val="single"/>
          </w:rPr>
          <w:t>Miro</w:t>
        </w:r>
      </w:hyperlink>
      <w:r>
        <w:t>,</w:t>
      </w:r>
      <w:r w:rsidR="00555B08">
        <w:rPr>
          <w:rStyle w:val="FootnoteReference"/>
        </w:rPr>
        <w:footnoteReference w:id="59"/>
      </w:r>
      <w:r>
        <w:t xml:space="preserve"> a collaborative online whiteboard, with participants contributing directly to the design in real time by adding steps, questioning sequencing, and refining individual process boxes. The guidance notes visible throughout the diagrams are drawn directly from Working Group contributions and record the reasoning behind specific design decisions. The workflow is therefore not a post-hoc illustration of the functional requirements but a community-designed artefact, developed in parallel with the specification and shaped by the practical knowledge of researchers, data support professionals and implementers across the Working Group.</w:t>
      </w:r>
    </w:p>
    <w:p w14:paraId="00000330" w14:textId="77777777" w:rsidR="00031725" w:rsidRDefault="00000000">
      <w:r>
        <w:t>The workflow is not prescriptive about technology or platform. It describes what happens, in what order, and where human decisions are required, without specifying how any individual implementation should deliver each step. Implementers should use it as a reference for designing workflows and configuring the tool within their own institutional context, guided by the implementation profiles in Section 11.</w:t>
      </w:r>
    </w:p>
    <w:p w14:paraId="446EDD1F" w14:textId="77777777" w:rsidR="00555B08" w:rsidRDefault="00555B08"/>
    <w:p w14:paraId="00000331" w14:textId="77777777" w:rsidR="00031725" w:rsidRDefault="00000000">
      <w:pPr>
        <w:pStyle w:val="Heading2"/>
      </w:pPr>
      <w:bookmarkStart w:id="30" w:name="_Toc233654405"/>
      <w:r>
        <w:lastRenderedPageBreak/>
        <w:t>8.1 How to read the process flow</w:t>
      </w:r>
      <w:bookmarkEnd w:id="30"/>
      <w:r>
        <w:t xml:space="preserve"> </w:t>
      </w:r>
    </w:p>
    <w:p w14:paraId="00000332" w14:textId="6B4F9DA2" w:rsidR="00031725" w:rsidRDefault="00000000">
      <w:r>
        <w:t xml:space="preserve">The workflow is structured in six phases, presented across six figures. The phases follow the sequence in which research data publication work typically </w:t>
      </w:r>
      <w:r w:rsidR="00555B08">
        <w:t>unfolds,</w:t>
      </w:r>
      <w:r>
        <w:t xml:space="preserve"> setting up before data collection; confirming governance and legal constraints; selecting a repository; preparing data and creating metadata; depositing and publishing; and managing outputs after publication. Together, the six phases cover the full journey from project planning to post-publication data reuse.</w:t>
      </w:r>
    </w:p>
    <w:p w14:paraId="00000333" w14:textId="77777777" w:rsidR="00031725" w:rsidRDefault="00000000">
      <w:r>
        <w:t>Researchers do not always enter the process at the beginning. Three entry points are provided to reflect this. Entry 1, shown in Figure 1, is for researchers starting a new project before data collection begins. Entry 2, shown in Figure 2, is for researchers whose data has already been collected and who are beginning to prepare it for sharing. Entry 3, shown in Figure 3, is for researchers who are ready to deposit data into a repository. All three paths converge and complete the same final phases.</w:t>
      </w:r>
    </w:p>
    <w:p w14:paraId="00000334" w14:textId="77777777" w:rsidR="00031725" w:rsidRDefault="00000000">
      <w:r>
        <w:t xml:space="preserve">Each figure uses a consistent set of visual conventions: </w:t>
      </w:r>
    </w:p>
    <w:p w14:paraId="00000335" w14:textId="77777777" w:rsidR="00031725" w:rsidRDefault="00000000">
      <w:pPr>
        <w:numPr>
          <w:ilvl w:val="0"/>
          <w:numId w:val="4"/>
        </w:numPr>
        <w:spacing w:after="0"/>
      </w:pPr>
      <w:r>
        <w:t>Process steps are shown as plain rectangular boxes representing actions or tasks.</w:t>
      </w:r>
    </w:p>
    <w:p w14:paraId="00000336" w14:textId="77777777" w:rsidR="00031725" w:rsidRDefault="00000000">
      <w:pPr>
        <w:numPr>
          <w:ilvl w:val="0"/>
          <w:numId w:val="4"/>
        </w:numPr>
        <w:spacing w:after="0"/>
      </w:pPr>
      <w:r>
        <w:t xml:space="preserve">Decision points are shown as diamond shapes with dashed orange borders, each presenting a yes/no question that branches the flow. </w:t>
      </w:r>
    </w:p>
    <w:p w14:paraId="00000337" w14:textId="77777777" w:rsidR="00031725" w:rsidRDefault="00000000">
      <w:pPr>
        <w:numPr>
          <w:ilvl w:val="0"/>
          <w:numId w:val="4"/>
        </w:numPr>
        <w:spacing w:after="0"/>
      </w:pPr>
      <w:r>
        <w:t xml:space="preserve">Entry points are shown as rounded green ovals marking where a researcher joins the workflow. </w:t>
      </w:r>
    </w:p>
    <w:p w14:paraId="00000338" w14:textId="77777777" w:rsidR="00031725" w:rsidRDefault="00000000">
      <w:pPr>
        <w:numPr>
          <w:ilvl w:val="0"/>
          <w:numId w:val="4"/>
        </w:numPr>
        <w:spacing w:after="0"/>
      </w:pPr>
      <w:r>
        <w:t xml:space="preserve">Phase headers are shown as orange-bordered bars that mark the transition between workflow phases. </w:t>
      </w:r>
    </w:p>
    <w:p w14:paraId="00000339" w14:textId="77777777" w:rsidR="00031725" w:rsidRDefault="00000000">
      <w:pPr>
        <w:numPr>
          <w:ilvl w:val="0"/>
          <w:numId w:val="4"/>
        </w:numPr>
        <w:spacing w:after="0"/>
      </w:pPr>
      <w:r>
        <w:t>Functional requirement boxes, shown with an orange left border inside a process step, identify which requirement from Section 7.1 is being applied at that point.</w:t>
      </w:r>
    </w:p>
    <w:p w14:paraId="0000033A" w14:textId="17C285F9" w:rsidR="00031725" w:rsidRDefault="00000000">
      <w:pPr>
        <w:numPr>
          <w:ilvl w:val="0"/>
          <w:numId w:val="4"/>
        </w:numPr>
        <w:spacing w:after="0"/>
      </w:pPr>
      <w:r>
        <w:t xml:space="preserve">Guidance </w:t>
      </w:r>
      <w:r w:rsidR="00555B08">
        <w:t xml:space="preserve">note </w:t>
      </w:r>
      <w:r>
        <w:t xml:space="preserve">boxes, shown with a blue left border, record session feedback and clarifying notes from the Working Group. </w:t>
      </w:r>
    </w:p>
    <w:p w14:paraId="0000033B" w14:textId="77777777" w:rsidR="00031725" w:rsidRDefault="00000000">
      <w:pPr>
        <w:numPr>
          <w:ilvl w:val="0"/>
          <w:numId w:val="4"/>
        </w:numPr>
        <w:spacing w:after="0"/>
      </w:pPr>
      <w:r>
        <w:t xml:space="preserve">Optional steps are shown with a dashed border. </w:t>
      </w:r>
    </w:p>
    <w:p w14:paraId="0000033C" w14:textId="77777777" w:rsidR="00031725" w:rsidRDefault="00000000">
      <w:pPr>
        <w:numPr>
          <w:ilvl w:val="0"/>
          <w:numId w:val="4"/>
        </w:numPr>
      </w:pPr>
      <w:r>
        <w:t>Arrows indicate the direction of flow throughout.</w:t>
      </w:r>
    </w:p>
    <w:p w14:paraId="0000033D" w14:textId="77777777" w:rsidR="00031725" w:rsidRDefault="00000000">
      <w:r>
        <w:t>One requirement runs across all six phases without exception. R10, track provenance of AI agent actions on data and metadata, is shown as a red banner at the top of every figure. It applies to every action the Data Director takes throughout the entire workflow. This reflects the Blueprint's position that provenance recording is not a phase-specific capability but a foundational condition for trustworthy agentic AI operation. Every agent action must be recorded, and those records must be available for verification, validation and audit at any point.</w:t>
      </w:r>
    </w:p>
    <w:p w14:paraId="0000033E" w14:textId="652D9C30" w:rsidR="00031725" w:rsidRDefault="00000000">
      <w:pPr>
        <w:pStyle w:val="Heading2"/>
      </w:pPr>
      <w:bookmarkStart w:id="31" w:name="_Toc233654406"/>
      <w:r>
        <w:t xml:space="preserve">8.2 </w:t>
      </w:r>
      <w:r w:rsidR="00DB6EAA">
        <w:t>Six-Phase Process Flow</w:t>
      </w:r>
      <w:r>
        <w:t xml:space="preserve"> </w:t>
      </w:r>
      <w:r w:rsidR="0019467E">
        <w:t>for Research Data Publication</w:t>
      </w:r>
      <w:bookmarkEnd w:id="31"/>
    </w:p>
    <w:p w14:paraId="0000033F" w14:textId="19BE1532" w:rsidR="00031725" w:rsidRDefault="00000000">
      <w:r>
        <w:t xml:space="preserve">The process flow described here represents an example pathway through the research data publication workflow as experienced by the researcher. It shows the stages a researcher moves through when preparing and depositing research </w:t>
      </w:r>
      <w:r w:rsidR="004F5A72">
        <w:t>data and</w:t>
      </w:r>
      <w:r>
        <w:t xml:space="preserve"> identifies the points at which the Data Director can interact with and provide support to that process. The workflow belongs to the researcher; the Data Director's role is to assist, recommend, and flag, not to direct or </w:t>
      </w:r>
      <w:r>
        <w:lastRenderedPageBreak/>
        <w:t xml:space="preserve">control. In practice, the sequence and emphasis of phases may vary depending on researcher context, institutional requirements, data sensitivity, and whether the dataset is being prepared for first-time publication or retrospective improvement. </w:t>
      </w:r>
    </w:p>
    <w:p w14:paraId="00000340" w14:textId="77777777" w:rsidR="00031725" w:rsidRDefault="00000000">
      <w:r>
        <w:t>Several design decisions embedded in the process flow are worth drawing attention to explicitly.</w:t>
      </w:r>
    </w:p>
    <w:p w14:paraId="00000341" w14:textId="77777777" w:rsidR="00031725" w:rsidRDefault="00000000">
      <w:r>
        <w:t>Repository selection, shown in Phase 3 (Figure 3), should be initiated before metadata generation begins, not only before deposit. The selected repository determines the required metadata schema, controlled vocabularies and validation rules that will govern all subsequent metadata work. Implementers should ensure that the tool prompts users to confirm or select a repository before the metadata creation workflow in Phase 4 is triggered (Figure 4).</w:t>
      </w:r>
    </w:p>
    <w:p w14:paraId="00000342" w14:textId="76D65AC7" w:rsidR="00031725" w:rsidRDefault="00000000">
      <w:r>
        <w:t xml:space="preserve">Governance and constraints checks, shown in Phase 2 (Figure 2), precede repository selection and should inform all subsequent decisions. </w:t>
      </w:r>
      <w:r w:rsidR="001F2C06">
        <w:t xml:space="preserve">Sensitive data handling, </w:t>
      </w:r>
      <w:r w:rsidR="001F2C06" w:rsidRPr="001F2C06">
        <w:t>ethical and legal constraints, embargo periods and DMP verification are all addressed at this stage</w:t>
      </w:r>
      <w:r w:rsidR="001F2C06">
        <w:t xml:space="preserve"> </w:t>
      </w:r>
      <w:r>
        <w:t>so that the decisions made here can constrain and guide the steps that follow. This ordering reflects the Blueprint's position in Section 5.2 that legal and ethical permissibility must be confirmed before any sharing workflow is enabled.</w:t>
      </w:r>
    </w:p>
    <w:p w14:paraId="00000343" w14:textId="77777777" w:rsidR="00031725" w:rsidRDefault="00000000">
      <w:r>
        <w:t>Metadata quality validation, shown in Phase 5 as R4 (Figure 5), is placed before submission rather than after. This reflects Working Group feedback that quality issues should be identified and resolved while the researcher can still act on them, not discovered after data has been published.</w:t>
      </w:r>
    </w:p>
    <w:p w14:paraId="00000344" w14:textId="77777777" w:rsidR="00031725" w:rsidRDefault="00000000">
      <w:r>
        <w:t>The post-publication phase, shown in Phase 6 (Figure 6), is not the end of the process but a continuing loop. The Data Director may support embargo monitoring after deposit. It can also support retrospective metadata improvement for already-published datasets (R9) and the linking of datasets to related research outputs (R11). Implementers should design their deployments to remain active and useful to researchers beyond the point of deposit.</w:t>
      </w:r>
    </w:p>
    <w:p w14:paraId="07E067BB" w14:textId="77777777" w:rsidR="0019467E" w:rsidRDefault="00C03B14" w:rsidP="00150C7D">
      <w:r>
        <w:rPr>
          <w:noProof/>
        </w:rPr>
        <w:lastRenderedPageBreak/>
        <w:drawing>
          <wp:anchor distT="0" distB="0" distL="114300" distR="114300" simplePos="0" relativeHeight="251666432" behindDoc="0" locked="0" layoutInCell="1" allowOverlap="1" wp14:anchorId="31991658" wp14:editId="78747DE7">
            <wp:simplePos x="0" y="0"/>
            <wp:positionH relativeFrom="margin">
              <wp:align>center</wp:align>
            </wp:positionH>
            <wp:positionV relativeFrom="margin">
              <wp:align>top</wp:align>
            </wp:positionV>
            <wp:extent cx="6410325" cy="6006465"/>
            <wp:effectExtent l="0" t="0" r="3175" b="635"/>
            <wp:wrapSquare wrapText="bothSides"/>
            <wp:docPr id="16678039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803996" name="Picture 1667803996"/>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410325" cy="6006465"/>
                    </a:xfrm>
                    <a:prstGeom prst="rect">
                      <a:avLst/>
                    </a:prstGeom>
                  </pic:spPr>
                </pic:pic>
              </a:graphicData>
            </a:graphic>
            <wp14:sizeRelH relativeFrom="margin">
              <wp14:pctWidth>0</wp14:pctWidth>
            </wp14:sizeRelH>
            <wp14:sizeRelV relativeFrom="margin">
              <wp14:pctHeight>0</wp14:pctHeight>
            </wp14:sizeRelV>
          </wp:anchor>
        </w:drawing>
      </w:r>
    </w:p>
    <w:p w14:paraId="0000034A" w14:textId="7E9727D7" w:rsidR="00031725" w:rsidRPr="0019467E" w:rsidRDefault="00000000" w:rsidP="00150C7D">
      <w:r w:rsidRPr="00150C7D">
        <w:rPr>
          <w:b/>
          <w:bCs/>
          <w:sz w:val="18"/>
          <w:szCs w:val="18"/>
        </w:rPr>
        <w:t>Figure 1</w:t>
      </w:r>
      <w:r w:rsidRPr="00150C7D">
        <w:rPr>
          <w:sz w:val="18"/>
          <w:szCs w:val="18"/>
        </w:rPr>
        <w:t xml:space="preserve">. </w:t>
      </w:r>
      <w:r w:rsidR="00150C7D" w:rsidRPr="00150C7D">
        <w:rPr>
          <w:rStyle w:val="animating6ta1u10"/>
          <w:sz w:val="18"/>
          <w:szCs w:val="18"/>
        </w:rPr>
        <w:t>Phase 1: Pre-collection Setup. The workflow entry point for researchers starting a new project before data collection begins. Shows the initial drafting of data documentation (R5), selection of controlled vocabularies and ontologies (R3), and a decision step to create a new Data Management Plan or review an existing one.</w:t>
      </w:r>
    </w:p>
    <w:p w14:paraId="69D49968" w14:textId="77777777" w:rsidR="00150C7D" w:rsidRDefault="00C03B14" w:rsidP="00150C7D">
      <w:pPr>
        <w:rPr>
          <w:sz w:val="18"/>
          <w:szCs w:val="18"/>
        </w:rPr>
      </w:pPr>
      <w:r>
        <w:rPr>
          <w:noProof/>
          <w:sz w:val="18"/>
          <w:szCs w:val="18"/>
        </w:rPr>
        <w:lastRenderedPageBreak/>
        <w:drawing>
          <wp:anchor distT="0" distB="0" distL="114300" distR="114300" simplePos="0" relativeHeight="251665408" behindDoc="0" locked="0" layoutInCell="1" allowOverlap="1" wp14:anchorId="76A69D1C" wp14:editId="4818BF6C">
            <wp:simplePos x="0" y="0"/>
            <wp:positionH relativeFrom="margin">
              <wp:align>center</wp:align>
            </wp:positionH>
            <wp:positionV relativeFrom="margin">
              <wp:align>top</wp:align>
            </wp:positionV>
            <wp:extent cx="6476643" cy="7071824"/>
            <wp:effectExtent l="0" t="0" r="635" b="2540"/>
            <wp:wrapSquare wrapText="bothSides"/>
            <wp:docPr id="10611972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197291" name="Picture 106119729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476643" cy="7071824"/>
                    </a:xfrm>
                    <a:prstGeom prst="rect">
                      <a:avLst/>
                    </a:prstGeom>
                  </pic:spPr>
                </pic:pic>
              </a:graphicData>
            </a:graphic>
            <wp14:sizeRelH relativeFrom="page">
              <wp14:pctWidth>0</wp14:pctWidth>
            </wp14:sizeRelH>
            <wp14:sizeRelV relativeFrom="page">
              <wp14:pctHeight>0</wp14:pctHeight>
            </wp14:sizeRelV>
          </wp:anchor>
        </w:drawing>
      </w:r>
      <w:r w:rsidR="00150C7D" w:rsidRPr="00150C7D">
        <w:rPr>
          <w:rStyle w:val="Strong"/>
          <w:sz w:val="18"/>
          <w:szCs w:val="18"/>
        </w:rPr>
        <w:t>Figure 2.</w:t>
      </w:r>
      <w:r w:rsidR="00150C7D" w:rsidRPr="00150C7D">
        <w:rPr>
          <w:sz w:val="18"/>
          <w:szCs w:val="18"/>
        </w:rPr>
        <w:t xml:space="preserve"> Phase 2: Governance and Constraints of Research Data. Covers the governance checks that must be completed before repository selection or data deposit proceeds. Includes checking funder, journal and institutional data sharing policies; identifying and handling sensitive data; confirming whether an embargo is required; and verifying data sharing commitments against the Data Management Plan (R8).</w:t>
      </w:r>
    </w:p>
    <w:p w14:paraId="2FB21AF9" w14:textId="17B3DA91" w:rsidR="004372D1" w:rsidRPr="00150C7D" w:rsidRDefault="004540EE" w:rsidP="00150C7D">
      <w:pPr>
        <w:rPr>
          <w:sz w:val="18"/>
          <w:szCs w:val="18"/>
        </w:rPr>
      </w:pPr>
      <w:r w:rsidRPr="00150C7D">
        <w:rPr>
          <w:b/>
          <w:bCs/>
          <w:noProof/>
          <w:sz w:val="18"/>
          <w:szCs w:val="18"/>
        </w:rPr>
        <w:lastRenderedPageBreak/>
        <w:drawing>
          <wp:inline distT="0" distB="0" distL="0" distR="0" wp14:anchorId="118E9A0D" wp14:editId="7F38FB97">
            <wp:extent cx="5845810" cy="7123430"/>
            <wp:effectExtent l="0" t="0" r="0" b="1270"/>
            <wp:docPr id="18243145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314586" name="Picture 1824314586"/>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845810" cy="7123430"/>
                    </a:xfrm>
                    <a:prstGeom prst="rect">
                      <a:avLst/>
                    </a:prstGeom>
                  </pic:spPr>
                </pic:pic>
              </a:graphicData>
            </a:graphic>
          </wp:inline>
        </w:drawing>
      </w:r>
    </w:p>
    <w:p w14:paraId="1A82835E" w14:textId="77777777" w:rsidR="000540DC" w:rsidRDefault="000540DC" w:rsidP="000540DC">
      <w:pPr>
        <w:rPr>
          <w:sz w:val="18"/>
          <w:szCs w:val="18"/>
        </w:rPr>
      </w:pPr>
      <w:r w:rsidRPr="000540DC">
        <w:rPr>
          <w:rStyle w:val="Strong"/>
          <w:sz w:val="18"/>
          <w:szCs w:val="18"/>
        </w:rPr>
        <w:t>Figure 3.</w:t>
      </w:r>
      <w:r w:rsidRPr="000540DC">
        <w:rPr>
          <w:sz w:val="18"/>
          <w:szCs w:val="18"/>
        </w:rPr>
        <w:t xml:space="preserve"> Phase 3: Repository Selection. Covers the selection and confirmation of a suitable data repository. Includes checking whether the funder, journal or institution mandates a repository; recommending an appropriate repository where one is not mandated (R1); confirming whether persistent identifiers (PIDs) are assigned automatically by the repository or arranging assignment where needed (R7); checking access options and deposit costs; and optionally verifying repository certification.</w:t>
      </w:r>
    </w:p>
    <w:p w14:paraId="1356A8A2" w14:textId="77777777" w:rsidR="005F307B" w:rsidRDefault="005F307B" w:rsidP="000540DC">
      <w:pPr>
        <w:rPr>
          <w:rStyle w:val="Strong"/>
          <w:sz w:val="18"/>
          <w:szCs w:val="18"/>
        </w:rPr>
      </w:pPr>
    </w:p>
    <w:p w14:paraId="4CFB1DE2" w14:textId="5F9FDFB9" w:rsidR="000540DC" w:rsidRPr="000540DC" w:rsidRDefault="00E15ABA" w:rsidP="000540DC">
      <w:pPr>
        <w:rPr>
          <w:sz w:val="18"/>
          <w:szCs w:val="18"/>
        </w:rPr>
      </w:pPr>
      <w:r w:rsidRPr="000540DC">
        <w:rPr>
          <w:b/>
          <w:bCs/>
          <w:noProof/>
          <w:sz w:val="18"/>
          <w:szCs w:val="18"/>
        </w:rPr>
        <w:drawing>
          <wp:anchor distT="0" distB="0" distL="114300" distR="114300" simplePos="0" relativeHeight="251667456" behindDoc="0" locked="0" layoutInCell="1" allowOverlap="1" wp14:anchorId="2083AFB8" wp14:editId="2F7D9139">
            <wp:simplePos x="0" y="0"/>
            <wp:positionH relativeFrom="margin">
              <wp:align>center</wp:align>
            </wp:positionH>
            <wp:positionV relativeFrom="margin">
              <wp:align>top</wp:align>
            </wp:positionV>
            <wp:extent cx="6440805" cy="6677660"/>
            <wp:effectExtent l="0" t="0" r="0" b="2540"/>
            <wp:wrapSquare wrapText="bothSides"/>
            <wp:docPr id="1829186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18601" name="Picture 182918601"/>
                    <pic:cNvPicPr/>
                  </pic:nvPicPr>
                  <pic:blipFill rotWithShape="1">
                    <a:blip r:embed="rId81" cstate="print">
                      <a:extLst>
                        <a:ext uri="{28A0092B-C50C-407E-A947-70E740481C1C}">
                          <a14:useLocalDpi xmlns:a14="http://schemas.microsoft.com/office/drawing/2010/main" val="0"/>
                        </a:ext>
                      </a:extLst>
                    </a:blip>
                    <a:srcRect b="3552"/>
                    <a:stretch>
                      <a:fillRect/>
                    </a:stretch>
                  </pic:blipFill>
                  <pic:spPr bwMode="auto">
                    <a:xfrm>
                      <a:off x="0" y="0"/>
                      <a:ext cx="6441759" cy="6678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40DC" w:rsidRPr="000540DC">
        <w:rPr>
          <w:rStyle w:val="Strong"/>
          <w:sz w:val="18"/>
          <w:szCs w:val="18"/>
        </w:rPr>
        <w:t>Figure 4.</w:t>
      </w:r>
      <w:r w:rsidR="000540DC" w:rsidRPr="000540DC">
        <w:rPr>
          <w:sz w:val="18"/>
          <w:szCs w:val="18"/>
        </w:rPr>
        <w:t xml:space="preserve"> Phase 4: Data Preparation and Metadata Creation. Covers the preparation of data files and the creation of metadata records. Includes file cleaning and versioning; open format recommendations (R3); creation or review of data documentation</w:t>
      </w:r>
      <w:r w:rsidR="000540DC">
        <w:rPr>
          <w:sz w:val="18"/>
          <w:szCs w:val="18"/>
        </w:rPr>
        <w:t>,</w:t>
      </w:r>
      <w:r w:rsidR="000540DC" w:rsidRPr="000540DC">
        <w:rPr>
          <w:sz w:val="18"/>
          <w:szCs w:val="18"/>
        </w:rPr>
        <w:t xml:space="preserve"> including READMEs and data dictionaries (R5); identification of the appropriate metadata standard; and completion of metadata fields using FAIR-aligned, discipline-appropriate vocabularies and ontologies (R2, R6).</w:t>
      </w:r>
    </w:p>
    <w:p w14:paraId="498E8F9E" w14:textId="77777777" w:rsidR="000540DC" w:rsidRDefault="000540DC" w:rsidP="000540DC">
      <w:pPr>
        <w:rPr>
          <w:b/>
          <w:bCs/>
          <w:sz w:val="18"/>
          <w:szCs w:val="18"/>
        </w:rPr>
      </w:pPr>
    </w:p>
    <w:p w14:paraId="1792690E" w14:textId="77777777" w:rsidR="000540DC" w:rsidRDefault="000540DC" w:rsidP="000540DC">
      <w:pPr>
        <w:rPr>
          <w:b/>
          <w:bCs/>
          <w:sz w:val="18"/>
          <w:szCs w:val="18"/>
        </w:rPr>
      </w:pPr>
    </w:p>
    <w:p w14:paraId="47766A2E" w14:textId="57221F36" w:rsidR="000540DC" w:rsidRPr="000540DC" w:rsidRDefault="00E15ABA" w:rsidP="000540DC">
      <w:pPr>
        <w:rPr>
          <w:sz w:val="18"/>
          <w:szCs w:val="18"/>
        </w:rPr>
      </w:pPr>
      <w:r>
        <w:rPr>
          <w:b/>
          <w:bCs/>
          <w:noProof/>
          <w:sz w:val="18"/>
          <w:szCs w:val="18"/>
        </w:rPr>
        <w:drawing>
          <wp:anchor distT="0" distB="0" distL="114300" distR="114300" simplePos="0" relativeHeight="251668480" behindDoc="0" locked="0" layoutInCell="1" allowOverlap="1" wp14:anchorId="09D9320A" wp14:editId="0B2BEF07">
            <wp:simplePos x="0" y="0"/>
            <wp:positionH relativeFrom="margin">
              <wp:align>center</wp:align>
            </wp:positionH>
            <wp:positionV relativeFrom="margin">
              <wp:align>top</wp:align>
            </wp:positionV>
            <wp:extent cx="6207125" cy="5260975"/>
            <wp:effectExtent l="0" t="0" r="3175" b="0"/>
            <wp:wrapSquare wrapText="bothSides"/>
            <wp:docPr id="11382046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204657" name="Picture 1138204657"/>
                    <pic:cNvPicPr/>
                  </pic:nvPicPr>
                  <pic:blipFill rotWithShape="1">
                    <a:blip r:embed="rId82" cstate="print">
                      <a:extLst>
                        <a:ext uri="{28A0092B-C50C-407E-A947-70E740481C1C}">
                          <a14:useLocalDpi xmlns:a14="http://schemas.microsoft.com/office/drawing/2010/main" val="0"/>
                        </a:ext>
                      </a:extLst>
                    </a:blip>
                    <a:srcRect b="4793"/>
                    <a:stretch>
                      <a:fillRect/>
                    </a:stretch>
                  </pic:blipFill>
                  <pic:spPr bwMode="auto">
                    <a:xfrm>
                      <a:off x="0" y="0"/>
                      <a:ext cx="6208007" cy="52620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40DC">
        <w:rPr>
          <w:b/>
          <w:bCs/>
          <w:sz w:val="18"/>
          <w:szCs w:val="18"/>
        </w:rPr>
        <w:t>F</w:t>
      </w:r>
      <w:r w:rsidR="000540DC">
        <w:rPr>
          <w:rStyle w:val="Strong"/>
          <w:sz w:val="18"/>
          <w:szCs w:val="18"/>
        </w:rPr>
        <w:t>i</w:t>
      </w:r>
      <w:r w:rsidR="000540DC" w:rsidRPr="000540DC">
        <w:rPr>
          <w:rStyle w:val="Strong"/>
          <w:sz w:val="18"/>
          <w:szCs w:val="18"/>
        </w:rPr>
        <w:t>gure 5.</w:t>
      </w:r>
      <w:r w:rsidR="000540DC" w:rsidRPr="000540DC">
        <w:rPr>
          <w:sz w:val="18"/>
          <w:szCs w:val="18"/>
        </w:rPr>
        <w:t xml:space="preserve"> Phase 5: Deposit and Submit. Covers the final steps before a dataset is submitted to a repository. Includes metadata quality validation (R4); licence assignment; linking to related research outputs including publication DOIs, ORCID, ROR and Grant IDs (R7); setting access restrictions; generating a private peer review link (optional); uploading files; and researcher review and finalisation of the submission.</w:t>
      </w:r>
    </w:p>
    <w:p w14:paraId="17F5A41F" w14:textId="24D45409" w:rsidR="001622C3" w:rsidRPr="00E15ABA" w:rsidRDefault="001622C3" w:rsidP="001622C3">
      <w:pPr>
        <w:spacing w:before="240" w:after="240"/>
        <w:rPr>
          <w:b/>
          <w:bCs/>
          <w:sz w:val="18"/>
          <w:szCs w:val="18"/>
        </w:rPr>
      </w:pPr>
    </w:p>
    <w:p w14:paraId="0835EDEF" w14:textId="77777777" w:rsidR="001622C3" w:rsidRDefault="001622C3">
      <w:pPr>
        <w:spacing w:before="240" w:after="240"/>
        <w:rPr>
          <w:sz w:val="18"/>
          <w:szCs w:val="18"/>
        </w:rPr>
      </w:pPr>
    </w:p>
    <w:p w14:paraId="00000351" w14:textId="77777777" w:rsidR="00031725" w:rsidRDefault="00031725">
      <w:pPr>
        <w:spacing w:before="240" w:after="240"/>
        <w:rPr>
          <w:sz w:val="18"/>
          <w:szCs w:val="18"/>
        </w:rPr>
      </w:pPr>
    </w:p>
    <w:p w14:paraId="00000352" w14:textId="77777777" w:rsidR="00031725" w:rsidRDefault="00031725">
      <w:pPr>
        <w:spacing w:before="240" w:after="240"/>
        <w:rPr>
          <w:sz w:val="18"/>
          <w:szCs w:val="18"/>
        </w:rPr>
      </w:pPr>
    </w:p>
    <w:p w14:paraId="00000354" w14:textId="77777777" w:rsidR="00031725" w:rsidRDefault="00031725">
      <w:pPr>
        <w:spacing w:before="240" w:after="240"/>
        <w:rPr>
          <w:b/>
          <w:bCs/>
          <w:sz w:val="18"/>
          <w:szCs w:val="18"/>
        </w:rPr>
      </w:pPr>
    </w:p>
    <w:p w14:paraId="71927FF1" w14:textId="53142CF6" w:rsidR="00E15ABA" w:rsidRPr="000540DC" w:rsidRDefault="00000000">
      <w:pPr>
        <w:spacing w:before="240" w:after="240"/>
      </w:pPr>
      <w:sdt>
        <w:sdtPr>
          <w:tag w:val="goog_rdk_1"/>
          <w:id w:val="1654975439"/>
        </w:sdtPr>
        <w:sdtContent>
          <w:commentRangeStart w:id="32"/>
        </w:sdtContent>
      </w:sdt>
      <w:commentRangeEnd w:id="32"/>
      <w:r w:rsidRPr="000540DC">
        <w:rPr>
          <w:rStyle w:val="CommentReference"/>
          <w:sz w:val="22"/>
          <w:szCs w:val="22"/>
        </w:rPr>
        <w:commentReference w:id="32"/>
      </w:r>
    </w:p>
    <w:p w14:paraId="00000355" w14:textId="4565E93D" w:rsidR="00031725" w:rsidRPr="00062C30" w:rsidRDefault="00EB3679" w:rsidP="00062C30">
      <w:pPr>
        <w:spacing w:before="240" w:after="240"/>
        <w:rPr>
          <w:b/>
          <w:bCs/>
          <w:sz w:val="18"/>
          <w:szCs w:val="18"/>
        </w:rPr>
        <w:sectPr w:rsidR="00031725" w:rsidRPr="00062C30">
          <w:headerReference w:type="default" r:id="rId83"/>
          <w:footerReference w:type="default" r:id="rId84"/>
          <w:pgSz w:w="11906" w:h="16838"/>
          <w:pgMar w:top="1260" w:right="1260" w:bottom="1260" w:left="1440" w:header="566" w:footer="566" w:gutter="0"/>
          <w:cols w:space="720"/>
        </w:sectPr>
      </w:pPr>
      <w:r>
        <w:rPr>
          <w:b/>
          <w:bCs/>
          <w:noProof/>
          <w:sz w:val="18"/>
          <w:szCs w:val="18"/>
        </w:rPr>
        <w:lastRenderedPageBreak/>
        <w:drawing>
          <wp:anchor distT="0" distB="0" distL="114300" distR="114300" simplePos="0" relativeHeight="251670528" behindDoc="0" locked="0" layoutInCell="1" allowOverlap="1" wp14:anchorId="01200FFC" wp14:editId="2B44D855">
            <wp:simplePos x="0" y="0"/>
            <wp:positionH relativeFrom="margin">
              <wp:posOffset>0</wp:posOffset>
            </wp:positionH>
            <wp:positionV relativeFrom="margin">
              <wp:posOffset>-67456</wp:posOffset>
            </wp:positionV>
            <wp:extent cx="5845810" cy="7148945"/>
            <wp:effectExtent l="0" t="0" r="0" b="1270"/>
            <wp:wrapSquare wrapText="bothSides"/>
            <wp:docPr id="16442681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268109" name="Picture 1644268109"/>
                    <pic:cNvPicPr/>
                  </pic:nvPicPr>
                  <pic:blipFill rotWithShape="1">
                    <a:blip r:embed="rId85" cstate="print">
                      <a:extLst>
                        <a:ext uri="{28A0092B-C50C-407E-A947-70E740481C1C}">
                          <a14:useLocalDpi xmlns:a14="http://schemas.microsoft.com/office/drawing/2010/main" val="0"/>
                        </a:ext>
                      </a:extLst>
                    </a:blip>
                    <a:srcRect b="9949"/>
                    <a:stretch>
                      <a:fillRect/>
                    </a:stretch>
                  </pic:blipFill>
                  <pic:spPr bwMode="auto">
                    <a:xfrm>
                      <a:off x="0" y="0"/>
                      <a:ext cx="5845810" cy="7148945"/>
                    </a:xfrm>
                    <a:prstGeom prst="rect">
                      <a:avLst/>
                    </a:prstGeom>
                    <a:ln>
                      <a:noFill/>
                    </a:ln>
                    <a:extLst>
                      <a:ext uri="{53640926-AAD7-44D8-BBD7-CCE9431645EC}">
                        <a14:shadowObscured xmlns:a14="http://schemas.microsoft.com/office/drawing/2010/main"/>
                      </a:ext>
                    </a:extLst>
                  </pic:spPr>
                </pic:pic>
              </a:graphicData>
            </a:graphic>
          </wp:anchor>
        </w:drawing>
      </w:r>
      <w:r w:rsidR="00BF756E" w:rsidRPr="00BF756E">
        <w:rPr>
          <w:b/>
          <w:bCs/>
          <w:sz w:val="18"/>
          <w:szCs w:val="18"/>
        </w:rPr>
        <w:t>Figure 6.</w:t>
      </w:r>
      <w:r w:rsidR="00BF756E" w:rsidRPr="00BF756E">
        <w:rPr>
          <w:sz w:val="18"/>
          <w:szCs w:val="18"/>
        </w:rPr>
        <w:t xml:space="preserve"> Phase 6: Post-Publication. Covers the actions that follow data deposit and closes the loop back to planning. Includes updating the Data Management Plan; recording deposit in institutional systems where required; monitoring access, downloads and citations; checking embargo release; evaluating the FAIRness of published digital objects and discovering related datasets (R12); retrofitting FAIR-aligned metadata for existing datasets (R9); and linking datasets to related research </w:t>
      </w:r>
      <w:r w:rsidR="00BF756E">
        <w:rPr>
          <w:sz w:val="18"/>
          <w:szCs w:val="18"/>
        </w:rPr>
        <w:t xml:space="preserve">outputs </w:t>
      </w:r>
      <w:r w:rsidR="00BF756E" w:rsidRPr="00BF756E">
        <w:rPr>
          <w:sz w:val="18"/>
          <w:szCs w:val="18"/>
        </w:rPr>
        <w:t>(R11).</w:t>
      </w:r>
    </w:p>
    <w:p w14:paraId="00000356" w14:textId="77777777" w:rsidR="00031725" w:rsidRDefault="00000000">
      <w:pPr>
        <w:pStyle w:val="Heading1"/>
        <w:pBdr>
          <w:bottom w:val="single" w:sz="4" w:space="4" w:color="005B52"/>
        </w:pBdr>
      </w:pPr>
      <w:bookmarkStart w:id="34" w:name="_Toc233654407"/>
      <w:r>
        <w:lastRenderedPageBreak/>
        <w:t>9. Reference Architecture</w:t>
      </w:r>
      <w:bookmarkEnd w:id="34"/>
    </w:p>
    <w:p w14:paraId="00000357" w14:textId="539F7649" w:rsidR="00031725" w:rsidRDefault="00000000">
      <w:r>
        <w:t>The architecture Blueprint provides a vendor-agnostic, technology-neutral map of the Data Director system components and how they interact. The Blueprint is also agnostic of the implementation scenario</w:t>
      </w:r>
      <w:r w:rsidR="00433C8A">
        <w:t>,</w:t>
      </w:r>
      <w:r>
        <w:t xml:space="preserve"> such as cloud or hybrid cloud.</w:t>
      </w:r>
    </w:p>
    <w:p w14:paraId="00000358" w14:textId="685CF3F6" w:rsidR="00031725" w:rsidRDefault="00000000">
      <w:pPr>
        <w:pStyle w:val="Heading2"/>
        <w:spacing w:after="80"/>
      </w:pPr>
      <w:bookmarkStart w:id="35" w:name="_Toc233654408"/>
      <w:r>
        <w:t>9.1</w:t>
      </w:r>
      <w:r w:rsidR="00433C8A">
        <w:t xml:space="preserve"> </w:t>
      </w:r>
      <w:r>
        <w:t>Architecture Overview</w:t>
      </w:r>
      <w:bookmarkEnd w:id="35"/>
    </w:p>
    <w:p w14:paraId="00000359" w14:textId="5C2907E3" w:rsidR="00031725" w:rsidRDefault="00000000">
      <w:r>
        <w:t xml:space="preserve">The diagram depicted below </w:t>
      </w:r>
      <w:r w:rsidR="00304078">
        <w:t xml:space="preserve">(Figure 7) </w:t>
      </w:r>
      <w:r>
        <w:t>illustrates the core capabilities required to support the data director implementation based on the principles and requirements identified during the working group discovery sessions.</w:t>
      </w:r>
    </w:p>
    <w:p w14:paraId="0000035A" w14:textId="77777777" w:rsidR="00031725" w:rsidRDefault="00000000">
      <w:r>
        <w:rPr>
          <w:b/>
          <w:bCs/>
        </w:rPr>
        <w:t>Assumptions:</w:t>
      </w:r>
    </w:p>
    <w:p w14:paraId="0000035B" w14:textId="77777777" w:rsidR="00031725" w:rsidRDefault="00000000">
      <w:pPr>
        <w:numPr>
          <w:ilvl w:val="0"/>
          <w:numId w:val="21"/>
        </w:numPr>
        <w:spacing w:after="0"/>
      </w:pPr>
      <w:r>
        <w:t>Language support will be dependent on the chosen cloud/technology provider and requirements during implementation.</w:t>
      </w:r>
    </w:p>
    <w:p w14:paraId="0000035C" w14:textId="77777777" w:rsidR="00031725" w:rsidRDefault="00000000">
      <w:pPr>
        <w:numPr>
          <w:ilvl w:val="0"/>
          <w:numId w:val="21"/>
        </w:numPr>
        <w:spacing w:after="0"/>
      </w:pPr>
      <w:r>
        <w:t>High availability and disaster recovery requirements are dependent on the scenario and service level agreement (SLA) requirements during implementation.</w:t>
      </w:r>
    </w:p>
    <w:p w14:paraId="0000035D" w14:textId="77777777" w:rsidR="00031725" w:rsidRDefault="00000000">
      <w:pPr>
        <w:numPr>
          <w:ilvl w:val="0"/>
          <w:numId w:val="21"/>
        </w:numPr>
      </w:pPr>
      <w:r>
        <w:t>The architecture Blueprint is based on a greenfield implementation (a new implementation built from scratch) and does not account for all possible existing capabilities. It is recognised, however, that research organisations may already have services in place, including identity management and operational monitoring.</w:t>
      </w:r>
    </w:p>
    <w:p w14:paraId="0000035E" w14:textId="77777777" w:rsidR="00031725" w:rsidRDefault="00031725">
      <w:pPr>
        <w:spacing w:before="80" w:after="80"/>
        <w:rPr>
          <w:b/>
          <w:bCs/>
          <w:sz w:val="18"/>
          <w:szCs w:val="18"/>
        </w:rPr>
      </w:pPr>
    </w:p>
    <w:p w14:paraId="0000035F" w14:textId="77777777" w:rsidR="00031725" w:rsidRDefault="00031725">
      <w:pPr>
        <w:spacing w:before="80" w:after="80"/>
        <w:rPr>
          <w:b/>
          <w:bCs/>
          <w:sz w:val="18"/>
          <w:szCs w:val="18"/>
        </w:rPr>
      </w:pPr>
    </w:p>
    <w:p w14:paraId="00000360" w14:textId="77777777" w:rsidR="00031725" w:rsidRDefault="00031725">
      <w:pPr>
        <w:spacing w:before="80" w:after="80"/>
        <w:rPr>
          <w:b/>
          <w:bCs/>
          <w:sz w:val="18"/>
          <w:szCs w:val="18"/>
        </w:rPr>
      </w:pPr>
    </w:p>
    <w:p w14:paraId="00000361" w14:textId="77777777" w:rsidR="00031725" w:rsidRDefault="00031725">
      <w:pPr>
        <w:spacing w:before="80" w:after="80"/>
        <w:rPr>
          <w:b/>
          <w:bCs/>
          <w:sz w:val="18"/>
          <w:szCs w:val="18"/>
        </w:rPr>
      </w:pPr>
    </w:p>
    <w:p w14:paraId="00000362" w14:textId="77777777" w:rsidR="00031725" w:rsidRDefault="00031725">
      <w:pPr>
        <w:spacing w:before="80" w:after="80"/>
        <w:rPr>
          <w:b/>
          <w:bCs/>
          <w:sz w:val="18"/>
          <w:szCs w:val="18"/>
        </w:rPr>
      </w:pPr>
    </w:p>
    <w:p w14:paraId="00000363" w14:textId="77777777" w:rsidR="00031725" w:rsidRDefault="00031725">
      <w:pPr>
        <w:spacing w:before="80" w:after="80"/>
        <w:rPr>
          <w:b/>
          <w:bCs/>
          <w:sz w:val="18"/>
          <w:szCs w:val="18"/>
        </w:rPr>
      </w:pPr>
    </w:p>
    <w:p w14:paraId="00000364" w14:textId="77777777" w:rsidR="00031725" w:rsidRDefault="00031725">
      <w:pPr>
        <w:spacing w:before="80" w:after="80"/>
        <w:rPr>
          <w:b/>
          <w:bCs/>
          <w:sz w:val="18"/>
          <w:szCs w:val="18"/>
        </w:rPr>
      </w:pPr>
    </w:p>
    <w:p w14:paraId="00000365" w14:textId="77777777" w:rsidR="00031725" w:rsidRDefault="00031725">
      <w:pPr>
        <w:spacing w:before="80" w:after="80"/>
        <w:rPr>
          <w:b/>
          <w:bCs/>
          <w:sz w:val="18"/>
          <w:szCs w:val="18"/>
        </w:rPr>
      </w:pPr>
    </w:p>
    <w:p w14:paraId="00000366" w14:textId="77777777" w:rsidR="00031725" w:rsidRDefault="00031725">
      <w:pPr>
        <w:spacing w:before="80" w:after="80"/>
        <w:rPr>
          <w:b/>
          <w:bCs/>
          <w:sz w:val="18"/>
          <w:szCs w:val="18"/>
        </w:rPr>
      </w:pPr>
    </w:p>
    <w:p w14:paraId="00000367" w14:textId="77777777" w:rsidR="00031725" w:rsidRDefault="00031725">
      <w:pPr>
        <w:spacing w:before="80" w:after="80"/>
        <w:rPr>
          <w:b/>
          <w:bCs/>
          <w:sz w:val="18"/>
          <w:szCs w:val="18"/>
        </w:rPr>
      </w:pPr>
    </w:p>
    <w:p w14:paraId="00000368" w14:textId="77777777" w:rsidR="00031725" w:rsidRDefault="00031725">
      <w:pPr>
        <w:spacing w:before="80" w:after="80"/>
        <w:rPr>
          <w:b/>
          <w:bCs/>
          <w:sz w:val="18"/>
          <w:szCs w:val="18"/>
        </w:rPr>
      </w:pPr>
    </w:p>
    <w:p w14:paraId="00000369" w14:textId="77777777" w:rsidR="00031725" w:rsidRDefault="00031725">
      <w:pPr>
        <w:spacing w:before="80" w:after="80"/>
        <w:rPr>
          <w:b/>
          <w:bCs/>
          <w:sz w:val="18"/>
          <w:szCs w:val="18"/>
        </w:rPr>
      </w:pPr>
    </w:p>
    <w:p w14:paraId="0000036A" w14:textId="77777777" w:rsidR="00031725" w:rsidRDefault="00031725">
      <w:pPr>
        <w:spacing w:before="80" w:after="80"/>
        <w:rPr>
          <w:b/>
          <w:bCs/>
          <w:sz w:val="18"/>
          <w:szCs w:val="18"/>
        </w:rPr>
      </w:pPr>
    </w:p>
    <w:p w14:paraId="0000036B" w14:textId="77777777" w:rsidR="00031725" w:rsidRDefault="00031725">
      <w:pPr>
        <w:spacing w:before="80" w:after="80"/>
        <w:rPr>
          <w:b/>
          <w:bCs/>
          <w:sz w:val="18"/>
          <w:szCs w:val="18"/>
        </w:rPr>
      </w:pPr>
    </w:p>
    <w:p w14:paraId="0000036C" w14:textId="77777777" w:rsidR="00031725" w:rsidRDefault="00031725">
      <w:pPr>
        <w:spacing w:before="80" w:after="80"/>
        <w:rPr>
          <w:b/>
          <w:bCs/>
          <w:sz w:val="18"/>
          <w:szCs w:val="18"/>
        </w:rPr>
      </w:pPr>
    </w:p>
    <w:p w14:paraId="0000036D" w14:textId="77777777" w:rsidR="00031725" w:rsidRDefault="00031725">
      <w:pPr>
        <w:spacing w:before="80" w:after="80"/>
        <w:rPr>
          <w:b/>
          <w:bCs/>
          <w:sz w:val="18"/>
          <w:szCs w:val="18"/>
        </w:rPr>
      </w:pPr>
    </w:p>
    <w:p w14:paraId="0000036E" w14:textId="77777777" w:rsidR="00031725" w:rsidRDefault="00031725">
      <w:pPr>
        <w:spacing w:before="80" w:after="80"/>
        <w:rPr>
          <w:b/>
          <w:bCs/>
          <w:sz w:val="18"/>
          <w:szCs w:val="18"/>
        </w:rPr>
      </w:pPr>
    </w:p>
    <w:p w14:paraId="0000036F" w14:textId="77777777" w:rsidR="00031725" w:rsidRDefault="00031725">
      <w:pPr>
        <w:spacing w:before="80" w:after="80"/>
        <w:rPr>
          <w:b/>
          <w:bCs/>
          <w:sz w:val="18"/>
          <w:szCs w:val="18"/>
        </w:rPr>
      </w:pPr>
    </w:p>
    <w:p w14:paraId="00000370" w14:textId="77777777" w:rsidR="00031725" w:rsidRDefault="00031725">
      <w:pPr>
        <w:spacing w:before="80" w:after="80"/>
        <w:rPr>
          <w:b/>
          <w:bCs/>
          <w:sz w:val="18"/>
          <w:szCs w:val="18"/>
        </w:rPr>
      </w:pPr>
    </w:p>
    <w:p w14:paraId="00000375" w14:textId="216C517A" w:rsidR="00031725" w:rsidRDefault="00000000" w:rsidP="007F7673">
      <w:pPr>
        <w:spacing w:before="80" w:after="80"/>
      </w:pPr>
      <w:r>
        <w:rPr>
          <w:b/>
          <w:bCs/>
          <w:sz w:val="18"/>
          <w:szCs w:val="18"/>
        </w:rPr>
        <w:lastRenderedPageBreak/>
        <w:t xml:space="preserve">Figure 7. </w:t>
      </w:r>
      <w:r>
        <w:rPr>
          <w:sz w:val="18"/>
          <w:szCs w:val="18"/>
        </w:rPr>
        <w:t>The Data Director conceptual architecture is a multi-layered AI platform that enables researchers to interact with intelligent agents for metadata, provenance, and repository management, underpinned by secure data storage, API integration with external scholarly systems, and governed platform infrastructure.</w:t>
      </w:r>
      <w:r>
        <w:rPr>
          <w:noProof/>
        </w:rPr>
        <w:drawing>
          <wp:anchor distT="114300" distB="114300" distL="114300" distR="114300" simplePos="0" relativeHeight="251662336" behindDoc="0" locked="0" layoutInCell="1" hidden="0" allowOverlap="1" wp14:anchorId="69B63569" wp14:editId="0E2BFC87">
            <wp:simplePos x="0" y="0"/>
            <wp:positionH relativeFrom="column">
              <wp:posOffset>-271461</wp:posOffset>
            </wp:positionH>
            <wp:positionV relativeFrom="paragraph">
              <wp:posOffset>114300</wp:posOffset>
            </wp:positionV>
            <wp:extent cx="6234113" cy="5623650"/>
            <wp:effectExtent l="0" t="0" r="0" b="0"/>
            <wp:wrapTopAndBottom distT="114300" distB="11430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6"/>
                    <a:srcRect/>
                    <a:stretch>
                      <a:fillRect/>
                    </a:stretch>
                  </pic:blipFill>
                  <pic:spPr>
                    <a:xfrm>
                      <a:off x="0" y="0"/>
                      <a:ext cx="6234113" cy="5623650"/>
                    </a:xfrm>
                    <a:prstGeom prst="rect">
                      <a:avLst/>
                    </a:prstGeom>
                    <a:ln/>
                  </pic:spPr>
                </pic:pic>
              </a:graphicData>
            </a:graphic>
          </wp:anchor>
        </w:drawing>
      </w:r>
      <w:bookmarkStart w:id="36" w:name="_heading=h.9tabigf0cj2d" w:colFirst="0" w:colLast="0"/>
      <w:bookmarkStart w:id="37" w:name="_heading=h.ahkrdmkdox4w" w:colFirst="0" w:colLast="0"/>
      <w:bookmarkStart w:id="38" w:name="_heading=h.fbiw2lq956aw" w:colFirst="0" w:colLast="0"/>
      <w:bookmarkStart w:id="39" w:name="_heading=h.ommj5ead53tj" w:colFirst="0" w:colLast="0"/>
      <w:bookmarkEnd w:id="36"/>
      <w:bookmarkEnd w:id="37"/>
      <w:bookmarkEnd w:id="38"/>
      <w:bookmarkEnd w:id="39"/>
    </w:p>
    <w:p w14:paraId="00000376" w14:textId="0A0F643A" w:rsidR="00031725" w:rsidRDefault="00000000">
      <w:pPr>
        <w:pStyle w:val="Heading2"/>
        <w:spacing w:after="80"/>
      </w:pPr>
      <w:bookmarkStart w:id="40" w:name="_Toc233654409"/>
      <w:r>
        <w:t>9.2 Presentation Layer</w:t>
      </w:r>
      <w:bookmarkEnd w:id="40"/>
    </w:p>
    <w:p w14:paraId="00000377" w14:textId="77777777" w:rsidR="00031725" w:rsidRDefault="00000000">
      <w:r>
        <w:t>The presentation layer covers the interfaces through which users interact with the Data Director (Table 5). It must be accessible, responsive and clearly communicate AI-generated content separately from verified data.</w:t>
      </w:r>
    </w:p>
    <w:p w14:paraId="35EB703C" w14:textId="77777777" w:rsidR="007F7673" w:rsidRDefault="007F7673"/>
    <w:p w14:paraId="7978A114" w14:textId="77777777" w:rsidR="007F7673" w:rsidRDefault="007F7673"/>
    <w:p w14:paraId="00000378" w14:textId="77777777" w:rsidR="00031725" w:rsidRDefault="00000000">
      <w:pPr>
        <w:rPr>
          <w:sz w:val="18"/>
          <w:szCs w:val="18"/>
        </w:rPr>
      </w:pPr>
      <w:r>
        <w:rPr>
          <w:b/>
          <w:bCs/>
          <w:sz w:val="18"/>
          <w:szCs w:val="18"/>
        </w:rPr>
        <w:lastRenderedPageBreak/>
        <w:t xml:space="preserve">Table 5. </w:t>
      </w:r>
      <w:r>
        <w:rPr>
          <w:sz w:val="18"/>
          <w:szCs w:val="18"/>
        </w:rPr>
        <w:t>Presentation layer component, with its description and associated requirement, through which users interact with the Data Director</w:t>
      </w:r>
    </w:p>
    <w:tbl>
      <w:tblPr>
        <w:tblStyle w:val="a5"/>
        <w:tblW w:w="90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50"/>
        <w:gridCol w:w="6450"/>
      </w:tblGrid>
      <w:tr w:rsidR="00031725" w14:paraId="06A17308" w14:textId="77777777">
        <w:trPr>
          <w:trHeight w:val="450"/>
        </w:trPr>
        <w:tc>
          <w:tcPr>
            <w:tcW w:w="2550" w:type="dxa"/>
            <w:tcBorders>
              <w:top w:val="single" w:sz="7" w:space="0" w:color="005B52"/>
              <w:left w:val="single" w:sz="7" w:space="0" w:color="005B52"/>
              <w:bottom w:val="single" w:sz="7" w:space="0" w:color="005B52"/>
              <w:right w:val="single" w:sz="7" w:space="0" w:color="005B52"/>
            </w:tcBorders>
            <w:shd w:val="clear" w:color="auto" w:fill="005B52"/>
            <w:tcMar>
              <w:top w:w="100" w:type="dxa"/>
              <w:left w:w="120" w:type="dxa"/>
              <w:bottom w:w="100" w:type="dxa"/>
              <w:right w:w="120" w:type="dxa"/>
            </w:tcMar>
          </w:tcPr>
          <w:p w14:paraId="00000379" w14:textId="77777777" w:rsidR="00031725" w:rsidRDefault="00000000">
            <w:pPr>
              <w:spacing w:after="0"/>
              <w:rPr>
                <w:b/>
                <w:bCs/>
                <w:color w:val="FFFFFF"/>
                <w:sz w:val="18"/>
                <w:szCs w:val="18"/>
              </w:rPr>
            </w:pPr>
            <w:r>
              <w:rPr>
                <w:b/>
                <w:bCs/>
                <w:color w:val="FFFFFF"/>
                <w:sz w:val="18"/>
                <w:szCs w:val="18"/>
              </w:rPr>
              <w:t>Component</w:t>
            </w:r>
          </w:p>
        </w:tc>
        <w:tc>
          <w:tcPr>
            <w:tcW w:w="6450" w:type="dxa"/>
            <w:tcBorders>
              <w:top w:val="single" w:sz="7" w:space="0" w:color="005B52"/>
              <w:left w:val="single" w:sz="7" w:space="0" w:color="005B52"/>
              <w:bottom w:val="single" w:sz="7" w:space="0" w:color="005B52"/>
              <w:right w:val="single" w:sz="7" w:space="0" w:color="005B52"/>
            </w:tcBorders>
            <w:shd w:val="clear" w:color="auto" w:fill="005B52"/>
            <w:tcMar>
              <w:top w:w="100" w:type="dxa"/>
              <w:left w:w="120" w:type="dxa"/>
              <w:bottom w:w="100" w:type="dxa"/>
              <w:right w:w="120" w:type="dxa"/>
            </w:tcMar>
          </w:tcPr>
          <w:p w14:paraId="0000037A" w14:textId="77777777" w:rsidR="00031725" w:rsidRDefault="00000000">
            <w:pPr>
              <w:spacing w:after="0"/>
              <w:rPr>
                <w:b/>
                <w:bCs/>
                <w:color w:val="FFFFFF"/>
                <w:sz w:val="18"/>
                <w:szCs w:val="18"/>
              </w:rPr>
            </w:pPr>
            <w:r>
              <w:rPr>
                <w:b/>
                <w:bCs/>
                <w:color w:val="FFFFFF"/>
                <w:sz w:val="18"/>
                <w:szCs w:val="18"/>
              </w:rPr>
              <w:t>Description/Requirement</w:t>
            </w:r>
          </w:p>
        </w:tc>
      </w:tr>
      <w:tr w:rsidR="00031725" w14:paraId="7AC6AC7B" w14:textId="77777777">
        <w:trPr>
          <w:trHeight w:val="990"/>
        </w:trPr>
        <w:tc>
          <w:tcPr>
            <w:tcW w:w="2550" w:type="dxa"/>
            <w:tcBorders>
              <w:top w:val="single" w:sz="7" w:space="0" w:color="005B52"/>
              <w:left w:val="single" w:sz="7" w:space="0" w:color="005B52"/>
              <w:bottom w:val="single" w:sz="7" w:space="0" w:color="005B52"/>
              <w:right w:val="single" w:sz="7" w:space="0" w:color="005B52"/>
            </w:tcBorders>
            <w:shd w:val="clear" w:color="auto" w:fill="FFFFFF"/>
            <w:tcMar>
              <w:top w:w="80" w:type="dxa"/>
              <w:left w:w="120" w:type="dxa"/>
              <w:bottom w:w="80" w:type="dxa"/>
              <w:right w:w="120" w:type="dxa"/>
            </w:tcMar>
          </w:tcPr>
          <w:p w14:paraId="0000037B" w14:textId="77777777" w:rsidR="00031725" w:rsidRDefault="00000000">
            <w:pPr>
              <w:spacing w:after="0"/>
              <w:rPr>
                <w:b/>
                <w:bCs/>
                <w:sz w:val="18"/>
                <w:szCs w:val="18"/>
              </w:rPr>
            </w:pPr>
            <w:r>
              <w:rPr>
                <w:b/>
                <w:bCs/>
                <w:sz w:val="18"/>
                <w:szCs w:val="18"/>
              </w:rPr>
              <w:t>Web app providing a chat interface and feedback mechanism</w:t>
            </w:r>
          </w:p>
        </w:tc>
        <w:tc>
          <w:tcPr>
            <w:tcW w:w="6450" w:type="dxa"/>
            <w:tcBorders>
              <w:top w:val="single" w:sz="7" w:space="0" w:color="005B52"/>
              <w:left w:val="single" w:sz="7" w:space="0" w:color="005B52"/>
              <w:bottom w:val="single" w:sz="7" w:space="0" w:color="005B52"/>
              <w:right w:val="single" w:sz="7" w:space="0" w:color="005B52"/>
            </w:tcBorders>
            <w:shd w:val="clear" w:color="auto" w:fill="FFFFFF"/>
            <w:tcMar>
              <w:top w:w="80" w:type="dxa"/>
              <w:left w:w="120" w:type="dxa"/>
              <w:bottom w:w="80" w:type="dxa"/>
              <w:right w:w="120" w:type="dxa"/>
            </w:tcMar>
          </w:tcPr>
          <w:p w14:paraId="0000037C" w14:textId="77777777" w:rsidR="00031725" w:rsidRDefault="00000000">
            <w:pPr>
              <w:spacing w:after="0"/>
              <w:rPr>
                <w:sz w:val="18"/>
                <w:szCs w:val="18"/>
              </w:rPr>
            </w:pPr>
            <w:r>
              <w:rPr>
                <w:sz w:val="18"/>
                <w:szCs w:val="18"/>
              </w:rPr>
              <w:t>Supporting a chat-based interface which also allows the end-user to provide feedback on AI generated actions and output.  Important note: the end user experience is subject to requirements specific to the research institution and implementation scenario and scope.</w:t>
            </w:r>
          </w:p>
        </w:tc>
      </w:tr>
    </w:tbl>
    <w:p w14:paraId="0000037D" w14:textId="0B84AA8A" w:rsidR="00031725" w:rsidRDefault="00000000">
      <w:pPr>
        <w:pStyle w:val="Heading2"/>
        <w:spacing w:after="80"/>
      </w:pPr>
      <w:bookmarkStart w:id="41" w:name="_Toc233654410"/>
      <w:r>
        <w:t>9.3 Application Layer</w:t>
      </w:r>
      <w:bookmarkEnd w:id="41"/>
    </w:p>
    <w:p w14:paraId="0000037E" w14:textId="77777777" w:rsidR="00031725" w:rsidRDefault="00000000">
      <w:r>
        <w:t xml:space="preserve">The application layer contains the core business logic of the Data Director: orchestrating user requests, managing workflows and coordinating between the AI and data layers (Table 6). </w:t>
      </w:r>
    </w:p>
    <w:p w14:paraId="0000037F" w14:textId="77777777" w:rsidR="00031725" w:rsidRDefault="00000000">
      <w:r>
        <w:rPr>
          <w:b/>
          <w:bCs/>
          <w:sz w:val="18"/>
          <w:szCs w:val="18"/>
        </w:rPr>
        <w:t xml:space="preserve">Table 6. </w:t>
      </w:r>
      <w:r>
        <w:rPr>
          <w:sz w:val="18"/>
          <w:szCs w:val="18"/>
        </w:rPr>
        <w:t>Application layer components, with their descriptions and associated requirements, that orchestrate the Data Director's core business logic.</w:t>
      </w:r>
    </w:p>
    <w:tbl>
      <w:tblPr>
        <w:tblStyle w:val="a6"/>
        <w:tblW w:w="90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50"/>
        <w:gridCol w:w="6450"/>
      </w:tblGrid>
      <w:tr w:rsidR="00031725" w14:paraId="32D3DBD4" w14:textId="77777777">
        <w:trPr>
          <w:trHeight w:val="450"/>
        </w:trPr>
        <w:tc>
          <w:tcPr>
            <w:tcW w:w="2550" w:type="dxa"/>
            <w:tcBorders>
              <w:top w:val="single" w:sz="7" w:space="0" w:color="005B52"/>
              <w:left w:val="single" w:sz="7" w:space="0" w:color="005B52"/>
              <w:bottom w:val="single" w:sz="7" w:space="0" w:color="005B52"/>
              <w:right w:val="single" w:sz="7" w:space="0" w:color="005B52"/>
            </w:tcBorders>
            <w:shd w:val="clear" w:color="auto" w:fill="005B52"/>
            <w:tcMar>
              <w:top w:w="100" w:type="dxa"/>
              <w:left w:w="120" w:type="dxa"/>
              <w:bottom w:w="100" w:type="dxa"/>
              <w:right w:w="120" w:type="dxa"/>
            </w:tcMar>
          </w:tcPr>
          <w:p w14:paraId="00000380" w14:textId="77777777" w:rsidR="00031725" w:rsidRDefault="00000000">
            <w:pPr>
              <w:spacing w:after="0"/>
              <w:rPr>
                <w:b/>
                <w:bCs/>
                <w:color w:val="FFFFFF"/>
                <w:sz w:val="18"/>
                <w:szCs w:val="18"/>
              </w:rPr>
            </w:pPr>
            <w:r>
              <w:rPr>
                <w:b/>
                <w:bCs/>
                <w:color w:val="FFFFFF"/>
                <w:sz w:val="18"/>
                <w:szCs w:val="18"/>
              </w:rPr>
              <w:t>Component</w:t>
            </w:r>
          </w:p>
        </w:tc>
        <w:tc>
          <w:tcPr>
            <w:tcW w:w="6450" w:type="dxa"/>
            <w:tcBorders>
              <w:top w:val="single" w:sz="7" w:space="0" w:color="005B52"/>
              <w:left w:val="single" w:sz="7" w:space="0" w:color="005B52"/>
              <w:bottom w:val="single" w:sz="7" w:space="0" w:color="005B52"/>
              <w:right w:val="single" w:sz="7" w:space="0" w:color="005B52"/>
            </w:tcBorders>
            <w:shd w:val="clear" w:color="auto" w:fill="005B52"/>
            <w:tcMar>
              <w:top w:w="100" w:type="dxa"/>
              <w:left w:w="120" w:type="dxa"/>
              <w:bottom w:w="100" w:type="dxa"/>
              <w:right w:w="120" w:type="dxa"/>
            </w:tcMar>
          </w:tcPr>
          <w:p w14:paraId="00000381" w14:textId="77777777" w:rsidR="00031725" w:rsidRDefault="00000000">
            <w:pPr>
              <w:spacing w:after="0"/>
              <w:rPr>
                <w:b/>
                <w:bCs/>
                <w:color w:val="FFFFFF"/>
                <w:sz w:val="18"/>
                <w:szCs w:val="18"/>
              </w:rPr>
            </w:pPr>
            <w:r>
              <w:rPr>
                <w:b/>
                <w:bCs/>
                <w:color w:val="FFFFFF"/>
                <w:sz w:val="18"/>
                <w:szCs w:val="18"/>
              </w:rPr>
              <w:t>Description/Requirement</w:t>
            </w:r>
          </w:p>
        </w:tc>
      </w:tr>
      <w:tr w:rsidR="00031725" w14:paraId="04A51223" w14:textId="77777777">
        <w:trPr>
          <w:trHeight w:val="585"/>
        </w:trPr>
        <w:tc>
          <w:tcPr>
            <w:tcW w:w="2550" w:type="dxa"/>
            <w:tcBorders>
              <w:top w:val="single" w:sz="7" w:space="0" w:color="005B52"/>
              <w:left w:val="single" w:sz="7" w:space="0" w:color="005B52"/>
              <w:bottom w:val="single" w:sz="7" w:space="0" w:color="005B52"/>
              <w:right w:val="single" w:sz="7" w:space="0" w:color="005B52"/>
            </w:tcBorders>
            <w:shd w:val="clear" w:color="auto" w:fill="FFFFFF"/>
            <w:tcMar>
              <w:top w:w="80" w:type="dxa"/>
              <w:left w:w="120" w:type="dxa"/>
              <w:bottom w:w="80" w:type="dxa"/>
              <w:right w:w="120" w:type="dxa"/>
            </w:tcMar>
          </w:tcPr>
          <w:p w14:paraId="00000382" w14:textId="77777777" w:rsidR="00031725" w:rsidRDefault="00000000">
            <w:pPr>
              <w:spacing w:after="0"/>
              <w:rPr>
                <w:b/>
                <w:bCs/>
                <w:sz w:val="18"/>
                <w:szCs w:val="18"/>
              </w:rPr>
            </w:pPr>
            <w:r>
              <w:rPr>
                <w:b/>
                <w:bCs/>
                <w:sz w:val="18"/>
                <w:szCs w:val="18"/>
              </w:rPr>
              <w:t>App Services</w:t>
            </w:r>
          </w:p>
        </w:tc>
        <w:tc>
          <w:tcPr>
            <w:tcW w:w="6450" w:type="dxa"/>
            <w:tcBorders>
              <w:top w:val="single" w:sz="7" w:space="0" w:color="005B52"/>
              <w:left w:val="single" w:sz="7" w:space="0" w:color="005B52"/>
              <w:bottom w:val="single" w:sz="7" w:space="0" w:color="005B52"/>
              <w:right w:val="single" w:sz="7" w:space="0" w:color="005B52"/>
            </w:tcBorders>
            <w:shd w:val="clear" w:color="auto" w:fill="FFFFFF"/>
            <w:tcMar>
              <w:top w:w="80" w:type="dxa"/>
              <w:left w:w="120" w:type="dxa"/>
              <w:bottom w:w="80" w:type="dxa"/>
              <w:right w:w="120" w:type="dxa"/>
            </w:tcMar>
          </w:tcPr>
          <w:p w14:paraId="00000383" w14:textId="77777777" w:rsidR="00031725" w:rsidRDefault="00000000">
            <w:pPr>
              <w:spacing w:after="0"/>
              <w:rPr>
                <w:sz w:val="18"/>
                <w:szCs w:val="18"/>
              </w:rPr>
            </w:pPr>
            <w:r>
              <w:rPr>
                <w:sz w:val="18"/>
                <w:szCs w:val="18"/>
              </w:rPr>
              <w:t>Application Services which provide the compute and elastic scale to serve the end-user experience and interaction with underlying AI services.</w:t>
            </w:r>
          </w:p>
        </w:tc>
      </w:tr>
      <w:tr w:rsidR="00031725" w14:paraId="4BB56C15" w14:textId="77777777">
        <w:trPr>
          <w:trHeight w:val="795"/>
        </w:trPr>
        <w:tc>
          <w:tcPr>
            <w:tcW w:w="2550" w:type="dxa"/>
            <w:tcBorders>
              <w:top w:val="single" w:sz="7" w:space="0" w:color="005B52"/>
              <w:left w:val="single" w:sz="7" w:space="0" w:color="005B52"/>
              <w:bottom w:val="single" w:sz="7" w:space="0" w:color="005B52"/>
              <w:right w:val="single" w:sz="7" w:space="0" w:color="005B52"/>
            </w:tcBorders>
            <w:shd w:val="clear" w:color="auto" w:fill="EDF7F5"/>
            <w:tcMar>
              <w:top w:w="80" w:type="dxa"/>
              <w:left w:w="120" w:type="dxa"/>
              <w:bottom w:w="80" w:type="dxa"/>
              <w:right w:w="120" w:type="dxa"/>
            </w:tcMar>
          </w:tcPr>
          <w:p w14:paraId="00000384" w14:textId="77777777" w:rsidR="00031725" w:rsidRDefault="00000000">
            <w:pPr>
              <w:spacing w:after="0"/>
              <w:rPr>
                <w:b/>
                <w:bCs/>
                <w:sz w:val="18"/>
                <w:szCs w:val="18"/>
              </w:rPr>
            </w:pPr>
            <w:r>
              <w:rPr>
                <w:b/>
                <w:bCs/>
                <w:sz w:val="18"/>
                <w:szCs w:val="18"/>
              </w:rPr>
              <w:t>App Insights</w:t>
            </w:r>
          </w:p>
        </w:tc>
        <w:tc>
          <w:tcPr>
            <w:tcW w:w="6450" w:type="dxa"/>
            <w:tcBorders>
              <w:top w:val="single" w:sz="7" w:space="0" w:color="005B52"/>
              <w:left w:val="single" w:sz="7" w:space="0" w:color="005B52"/>
              <w:bottom w:val="single" w:sz="7" w:space="0" w:color="005B52"/>
              <w:right w:val="single" w:sz="7" w:space="0" w:color="005B52"/>
            </w:tcBorders>
            <w:shd w:val="clear" w:color="auto" w:fill="EDF7F5"/>
            <w:tcMar>
              <w:top w:w="80" w:type="dxa"/>
              <w:left w:w="120" w:type="dxa"/>
              <w:bottom w:w="80" w:type="dxa"/>
              <w:right w:w="120" w:type="dxa"/>
            </w:tcMar>
          </w:tcPr>
          <w:p w14:paraId="00000385" w14:textId="77777777" w:rsidR="00031725" w:rsidRDefault="00000000">
            <w:pPr>
              <w:spacing w:after="0"/>
              <w:rPr>
                <w:sz w:val="18"/>
                <w:szCs w:val="18"/>
              </w:rPr>
            </w:pPr>
            <w:r>
              <w:rPr>
                <w:sz w:val="18"/>
                <w:szCs w:val="18"/>
              </w:rPr>
              <w:t>Application observability services which capture telemetry (usage, adoption, success, failure, audit information) which is useful for insights and troubleshooting.</w:t>
            </w:r>
          </w:p>
        </w:tc>
      </w:tr>
      <w:tr w:rsidR="00031725" w14:paraId="0A003148" w14:textId="77777777">
        <w:trPr>
          <w:trHeight w:val="795"/>
        </w:trPr>
        <w:tc>
          <w:tcPr>
            <w:tcW w:w="2550" w:type="dxa"/>
            <w:tcBorders>
              <w:top w:val="single" w:sz="7" w:space="0" w:color="005B52"/>
              <w:left w:val="single" w:sz="7" w:space="0" w:color="005B52"/>
              <w:bottom w:val="single" w:sz="7" w:space="0" w:color="005B52"/>
              <w:right w:val="single" w:sz="7" w:space="0" w:color="005B52"/>
            </w:tcBorders>
            <w:shd w:val="clear" w:color="auto" w:fill="FFFFFF"/>
            <w:tcMar>
              <w:top w:w="80" w:type="dxa"/>
              <w:left w:w="120" w:type="dxa"/>
              <w:bottom w:w="80" w:type="dxa"/>
              <w:right w:w="120" w:type="dxa"/>
            </w:tcMar>
          </w:tcPr>
          <w:p w14:paraId="00000386" w14:textId="77777777" w:rsidR="00031725" w:rsidRDefault="00000000">
            <w:pPr>
              <w:spacing w:after="0"/>
              <w:rPr>
                <w:b/>
                <w:bCs/>
                <w:sz w:val="18"/>
                <w:szCs w:val="18"/>
              </w:rPr>
            </w:pPr>
            <w:r>
              <w:rPr>
                <w:b/>
                <w:bCs/>
                <w:sz w:val="18"/>
                <w:szCs w:val="18"/>
              </w:rPr>
              <w:t>App Workflow</w:t>
            </w:r>
          </w:p>
        </w:tc>
        <w:tc>
          <w:tcPr>
            <w:tcW w:w="6450" w:type="dxa"/>
            <w:tcBorders>
              <w:top w:val="single" w:sz="7" w:space="0" w:color="005B52"/>
              <w:left w:val="single" w:sz="7" w:space="0" w:color="005B52"/>
              <w:bottom w:val="single" w:sz="7" w:space="0" w:color="005B52"/>
              <w:right w:val="single" w:sz="7" w:space="0" w:color="005B52"/>
            </w:tcBorders>
            <w:shd w:val="clear" w:color="auto" w:fill="FFFFFF"/>
            <w:tcMar>
              <w:top w:w="80" w:type="dxa"/>
              <w:left w:w="120" w:type="dxa"/>
              <w:bottom w:w="80" w:type="dxa"/>
              <w:right w:w="120" w:type="dxa"/>
            </w:tcMar>
          </w:tcPr>
          <w:p w14:paraId="00000387" w14:textId="77777777" w:rsidR="00031725" w:rsidRDefault="00000000">
            <w:pPr>
              <w:spacing w:after="0"/>
              <w:rPr>
                <w:sz w:val="18"/>
                <w:szCs w:val="18"/>
              </w:rPr>
            </w:pPr>
            <w:r>
              <w:rPr>
                <w:sz w:val="18"/>
                <w:szCs w:val="18"/>
              </w:rPr>
              <w:t>Application-layer capability that orchestrates and manages end-to-end business processes across systems, users, and services in a reliable, stateful, and auditable way.</w:t>
            </w:r>
          </w:p>
        </w:tc>
      </w:tr>
    </w:tbl>
    <w:p w14:paraId="00000388" w14:textId="7B8F1CB6" w:rsidR="00031725" w:rsidRDefault="00000000">
      <w:pPr>
        <w:pStyle w:val="Heading2"/>
        <w:spacing w:after="80"/>
      </w:pPr>
      <w:bookmarkStart w:id="42" w:name="_Toc233654411"/>
      <w:r>
        <w:t>9.4 AI Layer</w:t>
      </w:r>
      <w:bookmarkEnd w:id="42"/>
    </w:p>
    <w:p w14:paraId="00000389" w14:textId="77777777" w:rsidR="00031725" w:rsidRDefault="00000000">
      <w:r>
        <w:t>The AI layer contains all artificial intelligence and machine learning components (Table 7). This Blueprint does not prescribe specific models or vendors; it defines what the AI layer must do and how it must behave.</w:t>
      </w:r>
    </w:p>
    <w:p w14:paraId="0000038A" w14:textId="77777777" w:rsidR="00031725" w:rsidRDefault="00000000">
      <w:pPr>
        <w:rPr>
          <w:sz w:val="18"/>
          <w:szCs w:val="18"/>
        </w:rPr>
      </w:pPr>
      <w:r>
        <w:rPr>
          <w:b/>
          <w:bCs/>
          <w:sz w:val="18"/>
          <w:szCs w:val="18"/>
        </w:rPr>
        <w:t xml:space="preserve">Table 7. </w:t>
      </w:r>
      <w:r>
        <w:rPr>
          <w:sz w:val="18"/>
          <w:szCs w:val="18"/>
        </w:rPr>
        <w:t>AI layer components, with their descriptions and associated requirements, that provide the artificial intelligence and machine learning capabilities and agents underpinning the Data Director.</w:t>
      </w:r>
    </w:p>
    <w:tbl>
      <w:tblPr>
        <w:tblStyle w:val="a7"/>
        <w:tblW w:w="90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50"/>
        <w:gridCol w:w="6450"/>
      </w:tblGrid>
      <w:tr w:rsidR="00031725" w14:paraId="446F4DDB" w14:textId="77777777">
        <w:trPr>
          <w:trHeight w:val="450"/>
        </w:trPr>
        <w:tc>
          <w:tcPr>
            <w:tcW w:w="2550" w:type="dxa"/>
            <w:tcBorders>
              <w:top w:val="single" w:sz="7" w:space="0" w:color="005B52"/>
              <w:left w:val="single" w:sz="7" w:space="0" w:color="005B52"/>
              <w:bottom w:val="single" w:sz="7" w:space="0" w:color="005B52"/>
              <w:right w:val="single" w:sz="7" w:space="0" w:color="005B52"/>
            </w:tcBorders>
            <w:shd w:val="clear" w:color="auto" w:fill="005B52"/>
            <w:tcMar>
              <w:top w:w="100" w:type="dxa"/>
              <w:left w:w="120" w:type="dxa"/>
              <w:bottom w:w="100" w:type="dxa"/>
              <w:right w:w="120" w:type="dxa"/>
            </w:tcMar>
          </w:tcPr>
          <w:p w14:paraId="0000038B" w14:textId="77777777" w:rsidR="00031725" w:rsidRDefault="00000000">
            <w:pPr>
              <w:spacing w:after="0"/>
              <w:rPr>
                <w:b/>
                <w:bCs/>
                <w:color w:val="FFFFFF"/>
                <w:sz w:val="18"/>
                <w:szCs w:val="18"/>
              </w:rPr>
            </w:pPr>
            <w:r>
              <w:rPr>
                <w:b/>
                <w:bCs/>
                <w:color w:val="FFFFFF"/>
                <w:sz w:val="18"/>
                <w:szCs w:val="18"/>
              </w:rPr>
              <w:t>Component</w:t>
            </w:r>
          </w:p>
        </w:tc>
        <w:tc>
          <w:tcPr>
            <w:tcW w:w="6450" w:type="dxa"/>
            <w:tcBorders>
              <w:top w:val="single" w:sz="7" w:space="0" w:color="005B52"/>
              <w:left w:val="single" w:sz="7" w:space="0" w:color="005B52"/>
              <w:bottom w:val="single" w:sz="7" w:space="0" w:color="005B52"/>
              <w:right w:val="single" w:sz="7" w:space="0" w:color="005B52"/>
            </w:tcBorders>
            <w:shd w:val="clear" w:color="auto" w:fill="005B52"/>
            <w:tcMar>
              <w:top w:w="100" w:type="dxa"/>
              <w:left w:w="120" w:type="dxa"/>
              <w:bottom w:w="100" w:type="dxa"/>
              <w:right w:w="120" w:type="dxa"/>
            </w:tcMar>
          </w:tcPr>
          <w:p w14:paraId="0000038C" w14:textId="77777777" w:rsidR="00031725" w:rsidRDefault="00000000">
            <w:pPr>
              <w:spacing w:after="0"/>
              <w:rPr>
                <w:b/>
                <w:bCs/>
                <w:color w:val="FFFFFF"/>
                <w:sz w:val="18"/>
                <w:szCs w:val="18"/>
              </w:rPr>
            </w:pPr>
            <w:r>
              <w:rPr>
                <w:b/>
                <w:bCs/>
                <w:color w:val="FFFFFF"/>
                <w:sz w:val="18"/>
                <w:szCs w:val="18"/>
              </w:rPr>
              <w:t>Description/Requirement</w:t>
            </w:r>
          </w:p>
        </w:tc>
      </w:tr>
      <w:tr w:rsidR="00031725" w14:paraId="7D0A94F6" w14:textId="77777777">
        <w:trPr>
          <w:trHeight w:val="795"/>
        </w:trPr>
        <w:tc>
          <w:tcPr>
            <w:tcW w:w="2550" w:type="dxa"/>
            <w:tcBorders>
              <w:top w:val="single" w:sz="7" w:space="0" w:color="005B52"/>
              <w:left w:val="single" w:sz="7" w:space="0" w:color="005B52"/>
              <w:bottom w:val="single" w:sz="7" w:space="0" w:color="005B52"/>
              <w:right w:val="single" w:sz="7" w:space="0" w:color="005B52"/>
            </w:tcBorders>
            <w:shd w:val="clear" w:color="auto" w:fill="FFFFFF"/>
            <w:tcMar>
              <w:top w:w="80" w:type="dxa"/>
              <w:left w:w="120" w:type="dxa"/>
              <w:bottom w:w="80" w:type="dxa"/>
              <w:right w:w="120" w:type="dxa"/>
            </w:tcMar>
          </w:tcPr>
          <w:p w14:paraId="0000038D" w14:textId="77777777" w:rsidR="00031725" w:rsidRDefault="00000000">
            <w:pPr>
              <w:spacing w:after="0"/>
              <w:rPr>
                <w:b/>
                <w:bCs/>
                <w:sz w:val="18"/>
                <w:szCs w:val="18"/>
              </w:rPr>
            </w:pPr>
            <w:r>
              <w:rPr>
                <w:b/>
                <w:bCs/>
                <w:sz w:val="18"/>
                <w:szCs w:val="18"/>
              </w:rPr>
              <w:t>AI Model Orchestration</w:t>
            </w:r>
          </w:p>
        </w:tc>
        <w:tc>
          <w:tcPr>
            <w:tcW w:w="6450" w:type="dxa"/>
            <w:tcBorders>
              <w:top w:val="single" w:sz="7" w:space="0" w:color="005B52"/>
              <w:left w:val="single" w:sz="7" w:space="0" w:color="005B52"/>
              <w:bottom w:val="single" w:sz="7" w:space="0" w:color="005B52"/>
              <w:right w:val="single" w:sz="7" w:space="0" w:color="005B52"/>
            </w:tcBorders>
            <w:shd w:val="clear" w:color="auto" w:fill="FFFFFF"/>
            <w:tcMar>
              <w:top w:w="80" w:type="dxa"/>
              <w:left w:w="120" w:type="dxa"/>
              <w:bottom w:w="80" w:type="dxa"/>
              <w:right w:w="120" w:type="dxa"/>
            </w:tcMar>
          </w:tcPr>
          <w:p w14:paraId="0000038E" w14:textId="77777777" w:rsidR="00031725" w:rsidRDefault="00000000">
            <w:pPr>
              <w:spacing w:after="0"/>
              <w:rPr>
                <w:sz w:val="18"/>
                <w:szCs w:val="18"/>
              </w:rPr>
            </w:pPr>
            <w:r>
              <w:rPr>
                <w:sz w:val="18"/>
                <w:szCs w:val="18"/>
              </w:rPr>
              <w:t>AI capability responsible for coordinating, managing, and optimising the use of the AI agents and services to deliver reliable, consistent, and context-aware outcomes</w:t>
            </w:r>
          </w:p>
        </w:tc>
      </w:tr>
      <w:tr w:rsidR="00031725" w14:paraId="1A01895F" w14:textId="77777777">
        <w:trPr>
          <w:trHeight w:val="795"/>
        </w:trPr>
        <w:tc>
          <w:tcPr>
            <w:tcW w:w="2550" w:type="dxa"/>
            <w:tcBorders>
              <w:top w:val="single" w:sz="7" w:space="0" w:color="005B52"/>
              <w:left w:val="single" w:sz="7" w:space="0" w:color="005B52"/>
              <w:bottom w:val="single" w:sz="7" w:space="0" w:color="005B52"/>
              <w:right w:val="single" w:sz="7" w:space="0" w:color="005B52"/>
            </w:tcBorders>
            <w:shd w:val="clear" w:color="auto" w:fill="EDF7F5"/>
            <w:tcMar>
              <w:top w:w="80" w:type="dxa"/>
              <w:left w:w="120" w:type="dxa"/>
              <w:bottom w:w="80" w:type="dxa"/>
              <w:right w:w="120" w:type="dxa"/>
            </w:tcMar>
          </w:tcPr>
          <w:p w14:paraId="0000038F" w14:textId="77777777" w:rsidR="00031725" w:rsidRDefault="00000000">
            <w:pPr>
              <w:spacing w:after="0"/>
              <w:rPr>
                <w:b/>
                <w:bCs/>
                <w:sz w:val="18"/>
                <w:szCs w:val="18"/>
              </w:rPr>
            </w:pPr>
            <w:r>
              <w:rPr>
                <w:b/>
                <w:bCs/>
                <w:sz w:val="18"/>
                <w:szCs w:val="18"/>
              </w:rPr>
              <w:lastRenderedPageBreak/>
              <w:t>AI Model Evaluation</w:t>
            </w:r>
          </w:p>
        </w:tc>
        <w:tc>
          <w:tcPr>
            <w:tcW w:w="6450" w:type="dxa"/>
            <w:tcBorders>
              <w:top w:val="single" w:sz="7" w:space="0" w:color="005B52"/>
              <w:left w:val="single" w:sz="7" w:space="0" w:color="005B52"/>
              <w:bottom w:val="single" w:sz="7" w:space="0" w:color="005B52"/>
              <w:right w:val="single" w:sz="7" w:space="0" w:color="005B52"/>
            </w:tcBorders>
            <w:shd w:val="clear" w:color="auto" w:fill="EDF7F5"/>
            <w:tcMar>
              <w:top w:w="80" w:type="dxa"/>
              <w:left w:w="120" w:type="dxa"/>
              <w:bottom w:w="80" w:type="dxa"/>
              <w:right w:w="120" w:type="dxa"/>
            </w:tcMar>
          </w:tcPr>
          <w:p w14:paraId="00000390" w14:textId="77777777" w:rsidR="00031725" w:rsidRDefault="00000000">
            <w:pPr>
              <w:spacing w:after="0"/>
              <w:rPr>
                <w:sz w:val="18"/>
                <w:szCs w:val="18"/>
              </w:rPr>
            </w:pPr>
            <w:r>
              <w:rPr>
                <w:sz w:val="18"/>
                <w:szCs w:val="18"/>
              </w:rPr>
              <w:t>AI capability responsible for systematically measuring, validating, and continuously assessing the performance, safety, and business effectiveness of AI models and agent behaviours</w:t>
            </w:r>
          </w:p>
        </w:tc>
      </w:tr>
      <w:tr w:rsidR="00031725" w14:paraId="47FFB97C" w14:textId="77777777">
        <w:trPr>
          <w:trHeight w:val="990"/>
        </w:trPr>
        <w:tc>
          <w:tcPr>
            <w:tcW w:w="2550" w:type="dxa"/>
            <w:tcBorders>
              <w:top w:val="single" w:sz="7" w:space="0" w:color="005B52"/>
              <w:left w:val="single" w:sz="7" w:space="0" w:color="005B52"/>
              <w:bottom w:val="single" w:sz="7" w:space="0" w:color="005B52"/>
              <w:right w:val="single" w:sz="7" w:space="0" w:color="005B52"/>
            </w:tcBorders>
            <w:shd w:val="clear" w:color="auto" w:fill="FFFFFF"/>
            <w:tcMar>
              <w:top w:w="80" w:type="dxa"/>
              <w:left w:w="120" w:type="dxa"/>
              <w:bottom w:w="80" w:type="dxa"/>
              <w:right w:w="120" w:type="dxa"/>
            </w:tcMar>
          </w:tcPr>
          <w:p w14:paraId="00000391" w14:textId="77777777" w:rsidR="00031725" w:rsidRDefault="00000000">
            <w:pPr>
              <w:spacing w:after="0"/>
              <w:rPr>
                <w:b/>
                <w:bCs/>
                <w:sz w:val="18"/>
                <w:szCs w:val="18"/>
              </w:rPr>
            </w:pPr>
            <w:r>
              <w:rPr>
                <w:b/>
                <w:bCs/>
                <w:sz w:val="18"/>
                <w:szCs w:val="18"/>
              </w:rPr>
              <w:t>AI Model Development</w:t>
            </w:r>
          </w:p>
        </w:tc>
        <w:tc>
          <w:tcPr>
            <w:tcW w:w="6450" w:type="dxa"/>
            <w:tcBorders>
              <w:top w:val="single" w:sz="7" w:space="0" w:color="005B52"/>
              <w:left w:val="single" w:sz="7" w:space="0" w:color="005B52"/>
              <w:bottom w:val="single" w:sz="7" w:space="0" w:color="005B52"/>
              <w:right w:val="single" w:sz="7" w:space="0" w:color="005B52"/>
            </w:tcBorders>
            <w:shd w:val="clear" w:color="auto" w:fill="FFFFFF"/>
            <w:tcMar>
              <w:top w:w="80" w:type="dxa"/>
              <w:left w:w="120" w:type="dxa"/>
              <w:bottom w:w="80" w:type="dxa"/>
              <w:right w:w="120" w:type="dxa"/>
            </w:tcMar>
          </w:tcPr>
          <w:p w14:paraId="00000392" w14:textId="77777777" w:rsidR="00031725" w:rsidRDefault="00000000">
            <w:pPr>
              <w:spacing w:after="0"/>
              <w:rPr>
                <w:sz w:val="18"/>
                <w:szCs w:val="18"/>
              </w:rPr>
            </w:pPr>
            <w:r>
              <w:rPr>
                <w:sz w:val="18"/>
                <w:szCs w:val="18"/>
              </w:rPr>
              <w:t>AI capability which provides the end-to-end development and data science environment and processes for creating AI solutions, spanning data preparation, model selection, prompt and agent design, training or fine-tuning, and packaging models for deployment</w:t>
            </w:r>
          </w:p>
        </w:tc>
      </w:tr>
      <w:tr w:rsidR="00031725" w14:paraId="387B97D3" w14:textId="77777777">
        <w:trPr>
          <w:trHeight w:val="990"/>
        </w:trPr>
        <w:tc>
          <w:tcPr>
            <w:tcW w:w="2550" w:type="dxa"/>
            <w:tcBorders>
              <w:top w:val="single" w:sz="7" w:space="0" w:color="005B52"/>
              <w:left w:val="single" w:sz="7" w:space="0" w:color="005B52"/>
              <w:bottom w:val="single" w:sz="7" w:space="0" w:color="005B52"/>
              <w:right w:val="single" w:sz="7" w:space="0" w:color="005B52"/>
            </w:tcBorders>
            <w:shd w:val="clear" w:color="auto" w:fill="EDF7F5"/>
            <w:tcMar>
              <w:top w:w="80" w:type="dxa"/>
              <w:left w:w="120" w:type="dxa"/>
              <w:bottom w:w="80" w:type="dxa"/>
              <w:right w:w="120" w:type="dxa"/>
            </w:tcMar>
          </w:tcPr>
          <w:p w14:paraId="00000393" w14:textId="77777777" w:rsidR="00031725" w:rsidRDefault="00000000">
            <w:pPr>
              <w:spacing w:after="0"/>
              <w:rPr>
                <w:b/>
                <w:bCs/>
                <w:sz w:val="18"/>
                <w:szCs w:val="18"/>
              </w:rPr>
            </w:pPr>
            <w:r>
              <w:rPr>
                <w:b/>
                <w:bCs/>
                <w:sz w:val="18"/>
                <w:szCs w:val="18"/>
              </w:rPr>
              <w:t>Safety and Content Filtering</w:t>
            </w:r>
          </w:p>
        </w:tc>
        <w:tc>
          <w:tcPr>
            <w:tcW w:w="6450" w:type="dxa"/>
            <w:tcBorders>
              <w:top w:val="single" w:sz="7" w:space="0" w:color="005B52"/>
              <w:left w:val="single" w:sz="7" w:space="0" w:color="005B52"/>
              <w:bottom w:val="single" w:sz="7" w:space="0" w:color="005B52"/>
              <w:right w:val="single" w:sz="7" w:space="0" w:color="005B52"/>
            </w:tcBorders>
            <w:shd w:val="clear" w:color="auto" w:fill="EDF7F5"/>
            <w:tcMar>
              <w:top w:w="80" w:type="dxa"/>
              <w:left w:w="120" w:type="dxa"/>
              <w:bottom w:w="80" w:type="dxa"/>
              <w:right w:w="120" w:type="dxa"/>
            </w:tcMar>
          </w:tcPr>
          <w:p w14:paraId="00000394" w14:textId="77777777" w:rsidR="00031725" w:rsidRDefault="00000000">
            <w:pPr>
              <w:spacing w:after="0"/>
              <w:rPr>
                <w:sz w:val="18"/>
                <w:szCs w:val="18"/>
              </w:rPr>
            </w:pPr>
            <w:r>
              <w:rPr>
                <w:sz w:val="18"/>
                <w:szCs w:val="18"/>
              </w:rPr>
              <w:t>AI capability which enforces organisational, ethical, responsible and regulatory guardrails across all AI agent inputs and outputs to ensure that interactions remain safe, compliant, and appropriate for the intended use case</w:t>
            </w:r>
          </w:p>
        </w:tc>
      </w:tr>
      <w:tr w:rsidR="00031725" w14:paraId="787C41F4" w14:textId="77777777">
        <w:trPr>
          <w:trHeight w:val="795"/>
        </w:trPr>
        <w:tc>
          <w:tcPr>
            <w:tcW w:w="2550" w:type="dxa"/>
            <w:tcBorders>
              <w:top w:val="single" w:sz="7" w:space="0" w:color="005B52"/>
              <w:left w:val="single" w:sz="7" w:space="0" w:color="005B52"/>
              <w:bottom w:val="single" w:sz="7" w:space="0" w:color="005B52"/>
              <w:right w:val="single" w:sz="7" w:space="0" w:color="005B52"/>
            </w:tcBorders>
            <w:shd w:val="clear" w:color="auto" w:fill="FFFFFF"/>
            <w:tcMar>
              <w:top w:w="80" w:type="dxa"/>
              <w:left w:w="120" w:type="dxa"/>
              <w:bottom w:w="80" w:type="dxa"/>
              <w:right w:w="120" w:type="dxa"/>
            </w:tcMar>
          </w:tcPr>
          <w:p w14:paraId="00000395" w14:textId="77777777" w:rsidR="00031725" w:rsidRDefault="00000000">
            <w:pPr>
              <w:spacing w:after="0"/>
              <w:rPr>
                <w:b/>
                <w:bCs/>
                <w:sz w:val="18"/>
                <w:szCs w:val="18"/>
              </w:rPr>
            </w:pPr>
            <w:r>
              <w:rPr>
                <w:b/>
                <w:bCs/>
                <w:sz w:val="18"/>
                <w:szCs w:val="18"/>
              </w:rPr>
              <w:t>AI Dashboard</w:t>
            </w:r>
          </w:p>
        </w:tc>
        <w:tc>
          <w:tcPr>
            <w:tcW w:w="6450" w:type="dxa"/>
            <w:tcBorders>
              <w:top w:val="single" w:sz="7" w:space="0" w:color="005B52"/>
              <w:left w:val="single" w:sz="7" w:space="0" w:color="005B52"/>
              <w:bottom w:val="single" w:sz="7" w:space="0" w:color="005B52"/>
              <w:right w:val="single" w:sz="7" w:space="0" w:color="005B52"/>
            </w:tcBorders>
            <w:shd w:val="clear" w:color="auto" w:fill="FFFFFF"/>
            <w:tcMar>
              <w:top w:w="80" w:type="dxa"/>
              <w:left w:w="120" w:type="dxa"/>
              <w:bottom w:w="80" w:type="dxa"/>
              <w:right w:w="120" w:type="dxa"/>
            </w:tcMar>
          </w:tcPr>
          <w:p w14:paraId="00000396" w14:textId="77777777" w:rsidR="00031725" w:rsidRDefault="00000000">
            <w:pPr>
              <w:spacing w:after="0"/>
              <w:rPr>
                <w:sz w:val="18"/>
                <w:szCs w:val="18"/>
              </w:rPr>
            </w:pPr>
            <w:r>
              <w:rPr>
                <w:sz w:val="18"/>
                <w:szCs w:val="18"/>
              </w:rPr>
              <w:t>Provides monitoring, and operational insight into the performance, usage, cost, quality, and safety of AI models, agents, and workflows across an organisation</w:t>
            </w:r>
          </w:p>
        </w:tc>
      </w:tr>
      <w:tr w:rsidR="00031725" w14:paraId="51FB38B5" w14:textId="77777777">
        <w:trPr>
          <w:trHeight w:val="795"/>
        </w:trPr>
        <w:tc>
          <w:tcPr>
            <w:tcW w:w="2550" w:type="dxa"/>
            <w:tcBorders>
              <w:top w:val="single" w:sz="7" w:space="0" w:color="005B52"/>
              <w:left w:val="single" w:sz="7" w:space="0" w:color="005B52"/>
              <w:bottom w:val="single" w:sz="7" w:space="0" w:color="005B52"/>
              <w:right w:val="single" w:sz="7" w:space="0" w:color="005B52"/>
            </w:tcBorders>
            <w:shd w:val="clear" w:color="auto" w:fill="EDF7F5"/>
            <w:tcMar>
              <w:top w:w="80" w:type="dxa"/>
              <w:left w:w="120" w:type="dxa"/>
              <w:bottom w:w="80" w:type="dxa"/>
              <w:right w:w="120" w:type="dxa"/>
            </w:tcMar>
          </w:tcPr>
          <w:p w14:paraId="00000397" w14:textId="77777777" w:rsidR="00031725" w:rsidRDefault="00000000">
            <w:pPr>
              <w:spacing w:after="0"/>
              <w:rPr>
                <w:b/>
                <w:bCs/>
                <w:sz w:val="18"/>
                <w:szCs w:val="18"/>
              </w:rPr>
            </w:pPr>
            <w:r>
              <w:rPr>
                <w:b/>
                <w:bCs/>
                <w:sz w:val="18"/>
                <w:szCs w:val="18"/>
              </w:rPr>
              <w:t>Model Runtime</w:t>
            </w:r>
          </w:p>
        </w:tc>
        <w:tc>
          <w:tcPr>
            <w:tcW w:w="6450" w:type="dxa"/>
            <w:tcBorders>
              <w:top w:val="single" w:sz="7" w:space="0" w:color="005B52"/>
              <w:left w:val="single" w:sz="7" w:space="0" w:color="005B52"/>
              <w:bottom w:val="single" w:sz="7" w:space="0" w:color="005B52"/>
              <w:right w:val="single" w:sz="7" w:space="0" w:color="005B52"/>
            </w:tcBorders>
            <w:shd w:val="clear" w:color="auto" w:fill="EDF7F5"/>
            <w:tcMar>
              <w:top w:w="80" w:type="dxa"/>
              <w:left w:w="120" w:type="dxa"/>
              <w:bottom w:w="80" w:type="dxa"/>
              <w:right w:w="120" w:type="dxa"/>
            </w:tcMar>
          </w:tcPr>
          <w:p w14:paraId="00000398" w14:textId="77777777" w:rsidR="00031725" w:rsidRDefault="00000000">
            <w:pPr>
              <w:spacing w:after="0"/>
              <w:rPr>
                <w:sz w:val="18"/>
                <w:szCs w:val="18"/>
              </w:rPr>
            </w:pPr>
            <w:r>
              <w:rPr>
                <w:sz w:val="18"/>
                <w:szCs w:val="18"/>
              </w:rPr>
              <w:t>Core application-layer capability responsible for executing AI models in production and managing the full lifecycle of inference requests in a reliable, scalable, and secure way</w:t>
            </w:r>
          </w:p>
        </w:tc>
      </w:tr>
      <w:tr w:rsidR="00031725" w14:paraId="2DBB5664" w14:textId="77777777">
        <w:trPr>
          <w:trHeight w:val="585"/>
        </w:trPr>
        <w:tc>
          <w:tcPr>
            <w:tcW w:w="2550" w:type="dxa"/>
            <w:tcBorders>
              <w:top w:val="single" w:sz="7" w:space="0" w:color="005B52"/>
              <w:left w:val="single" w:sz="7" w:space="0" w:color="005B52"/>
              <w:bottom w:val="single" w:sz="7" w:space="0" w:color="005B52"/>
              <w:right w:val="single" w:sz="7" w:space="0" w:color="005B52"/>
            </w:tcBorders>
            <w:shd w:val="clear" w:color="auto" w:fill="FFFFFF"/>
            <w:tcMar>
              <w:top w:w="80" w:type="dxa"/>
              <w:left w:w="120" w:type="dxa"/>
              <w:bottom w:w="80" w:type="dxa"/>
              <w:right w:w="120" w:type="dxa"/>
            </w:tcMar>
          </w:tcPr>
          <w:p w14:paraId="00000399" w14:textId="77777777" w:rsidR="00031725" w:rsidRDefault="00000000">
            <w:pPr>
              <w:spacing w:after="0"/>
              <w:rPr>
                <w:b/>
                <w:bCs/>
                <w:sz w:val="18"/>
                <w:szCs w:val="18"/>
              </w:rPr>
            </w:pPr>
            <w:r>
              <w:rPr>
                <w:b/>
                <w:bCs/>
                <w:sz w:val="18"/>
                <w:szCs w:val="18"/>
              </w:rPr>
              <w:t>Planning Agent</w:t>
            </w:r>
          </w:p>
        </w:tc>
        <w:tc>
          <w:tcPr>
            <w:tcW w:w="6450" w:type="dxa"/>
            <w:tcBorders>
              <w:top w:val="single" w:sz="7" w:space="0" w:color="005B52"/>
              <w:left w:val="single" w:sz="7" w:space="0" w:color="005B52"/>
              <w:bottom w:val="single" w:sz="7" w:space="0" w:color="005B52"/>
              <w:right w:val="single" w:sz="7" w:space="0" w:color="005B52"/>
            </w:tcBorders>
            <w:shd w:val="clear" w:color="auto" w:fill="FFFFFF"/>
            <w:tcMar>
              <w:top w:w="80" w:type="dxa"/>
              <w:left w:w="120" w:type="dxa"/>
              <w:bottom w:w="80" w:type="dxa"/>
              <w:right w:w="120" w:type="dxa"/>
            </w:tcMar>
          </w:tcPr>
          <w:p w14:paraId="0000039A" w14:textId="77777777" w:rsidR="00031725" w:rsidRDefault="00000000">
            <w:pPr>
              <w:spacing w:after="0"/>
              <w:rPr>
                <w:sz w:val="18"/>
                <w:szCs w:val="18"/>
              </w:rPr>
            </w:pPr>
            <w:r>
              <w:rPr>
                <w:sz w:val="18"/>
                <w:szCs w:val="18"/>
              </w:rPr>
              <w:t>Verifies DMP alignment, suggest open formats, draft readme and data dictionary</w:t>
            </w:r>
          </w:p>
        </w:tc>
      </w:tr>
      <w:tr w:rsidR="00031725" w14:paraId="06EDFD9E" w14:textId="77777777">
        <w:trPr>
          <w:trHeight w:val="375"/>
        </w:trPr>
        <w:tc>
          <w:tcPr>
            <w:tcW w:w="2550" w:type="dxa"/>
            <w:tcBorders>
              <w:top w:val="single" w:sz="7" w:space="0" w:color="005B52"/>
              <w:left w:val="single" w:sz="7" w:space="0" w:color="005B52"/>
              <w:bottom w:val="single" w:sz="7" w:space="0" w:color="005B52"/>
              <w:right w:val="single" w:sz="7" w:space="0" w:color="005B52"/>
            </w:tcBorders>
            <w:shd w:val="clear" w:color="auto" w:fill="EDF7F5"/>
            <w:tcMar>
              <w:top w:w="80" w:type="dxa"/>
              <w:left w:w="120" w:type="dxa"/>
              <w:bottom w:w="80" w:type="dxa"/>
              <w:right w:w="120" w:type="dxa"/>
            </w:tcMar>
          </w:tcPr>
          <w:p w14:paraId="0000039B" w14:textId="77777777" w:rsidR="00031725" w:rsidRDefault="00000000">
            <w:pPr>
              <w:spacing w:after="0"/>
              <w:rPr>
                <w:b/>
                <w:bCs/>
                <w:sz w:val="18"/>
                <w:szCs w:val="18"/>
              </w:rPr>
            </w:pPr>
            <w:r>
              <w:rPr>
                <w:b/>
                <w:bCs/>
                <w:sz w:val="18"/>
                <w:szCs w:val="18"/>
              </w:rPr>
              <w:t>Linking Agent</w:t>
            </w:r>
          </w:p>
        </w:tc>
        <w:tc>
          <w:tcPr>
            <w:tcW w:w="6450" w:type="dxa"/>
            <w:tcBorders>
              <w:top w:val="single" w:sz="7" w:space="0" w:color="005B52"/>
              <w:left w:val="single" w:sz="7" w:space="0" w:color="005B52"/>
              <w:bottom w:val="single" w:sz="7" w:space="0" w:color="005B52"/>
              <w:right w:val="single" w:sz="7" w:space="0" w:color="005B52"/>
            </w:tcBorders>
            <w:shd w:val="clear" w:color="auto" w:fill="EDF7F5"/>
            <w:tcMar>
              <w:top w:w="80" w:type="dxa"/>
              <w:left w:w="120" w:type="dxa"/>
              <w:bottom w:w="80" w:type="dxa"/>
              <w:right w:w="120" w:type="dxa"/>
            </w:tcMar>
          </w:tcPr>
          <w:p w14:paraId="0000039C" w14:textId="77777777" w:rsidR="00031725" w:rsidRDefault="00000000">
            <w:pPr>
              <w:spacing w:after="0"/>
              <w:rPr>
                <w:sz w:val="18"/>
                <w:szCs w:val="18"/>
              </w:rPr>
            </w:pPr>
            <w:r>
              <w:rPr>
                <w:sz w:val="18"/>
                <w:szCs w:val="18"/>
              </w:rPr>
              <w:t>Links related outputs, connect datasets/publications, PID assignment</w:t>
            </w:r>
          </w:p>
        </w:tc>
      </w:tr>
      <w:tr w:rsidR="00031725" w14:paraId="73274E38" w14:textId="77777777">
        <w:trPr>
          <w:trHeight w:val="375"/>
        </w:trPr>
        <w:tc>
          <w:tcPr>
            <w:tcW w:w="2550" w:type="dxa"/>
            <w:tcBorders>
              <w:top w:val="single" w:sz="7" w:space="0" w:color="005B52"/>
              <w:left w:val="single" w:sz="7" w:space="0" w:color="005B52"/>
              <w:bottom w:val="single" w:sz="7" w:space="0" w:color="005B52"/>
              <w:right w:val="single" w:sz="7" w:space="0" w:color="005B52"/>
            </w:tcBorders>
            <w:shd w:val="clear" w:color="auto" w:fill="FFFFFF"/>
            <w:tcMar>
              <w:top w:w="80" w:type="dxa"/>
              <w:left w:w="120" w:type="dxa"/>
              <w:bottom w:w="80" w:type="dxa"/>
              <w:right w:w="120" w:type="dxa"/>
            </w:tcMar>
          </w:tcPr>
          <w:p w14:paraId="0000039D" w14:textId="77777777" w:rsidR="00031725" w:rsidRDefault="00000000">
            <w:pPr>
              <w:spacing w:after="0"/>
              <w:rPr>
                <w:b/>
                <w:bCs/>
                <w:sz w:val="18"/>
                <w:szCs w:val="18"/>
              </w:rPr>
            </w:pPr>
            <w:r>
              <w:rPr>
                <w:b/>
                <w:bCs/>
                <w:sz w:val="18"/>
                <w:szCs w:val="18"/>
              </w:rPr>
              <w:t>Metadata Agent</w:t>
            </w:r>
          </w:p>
        </w:tc>
        <w:tc>
          <w:tcPr>
            <w:tcW w:w="6450" w:type="dxa"/>
            <w:tcBorders>
              <w:top w:val="single" w:sz="7" w:space="0" w:color="005B52"/>
              <w:left w:val="single" w:sz="7" w:space="0" w:color="005B52"/>
              <w:bottom w:val="single" w:sz="7" w:space="0" w:color="005B52"/>
              <w:right w:val="single" w:sz="7" w:space="0" w:color="005B52"/>
            </w:tcBorders>
            <w:shd w:val="clear" w:color="auto" w:fill="FFFFFF"/>
            <w:tcMar>
              <w:top w:w="80" w:type="dxa"/>
              <w:left w:w="120" w:type="dxa"/>
              <w:bottom w:w="80" w:type="dxa"/>
              <w:right w:w="120" w:type="dxa"/>
            </w:tcMar>
          </w:tcPr>
          <w:p w14:paraId="0000039E" w14:textId="77777777" w:rsidR="00031725" w:rsidRDefault="00000000">
            <w:pPr>
              <w:spacing w:after="0"/>
              <w:rPr>
                <w:sz w:val="18"/>
                <w:szCs w:val="18"/>
              </w:rPr>
            </w:pPr>
            <w:r>
              <w:rPr>
                <w:sz w:val="18"/>
                <w:szCs w:val="18"/>
              </w:rPr>
              <w:t>Generates discipline aligned metadata, prepares metadata for deposit</w:t>
            </w:r>
          </w:p>
        </w:tc>
      </w:tr>
      <w:tr w:rsidR="00031725" w14:paraId="45F0A08C" w14:textId="77777777">
        <w:trPr>
          <w:trHeight w:val="375"/>
        </w:trPr>
        <w:tc>
          <w:tcPr>
            <w:tcW w:w="2550" w:type="dxa"/>
            <w:tcBorders>
              <w:top w:val="single" w:sz="7" w:space="0" w:color="005B52"/>
              <w:left w:val="single" w:sz="7" w:space="0" w:color="005B52"/>
              <w:bottom w:val="single" w:sz="7" w:space="0" w:color="005B52"/>
              <w:right w:val="single" w:sz="7" w:space="0" w:color="005B52"/>
            </w:tcBorders>
            <w:shd w:val="clear" w:color="auto" w:fill="EDF7F5"/>
            <w:tcMar>
              <w:top w:w="80" w:type="dxa"/>
              <w:left w:w="120" w:type="dxa"/>
              <w:bottom w:w="80" w:type="dxa"/>
              <w:right w:w="120" w:type="dxa"/>
            </w:tcMar>
          </w:tcPr>
          <w:p w14:paraId="0000039F" w14:textId="77777777" w:rsidR="00031725" w:rsidRDefault="00000000">
            <w:pPr>
              <w:spacing w:after="0"/>
              <w:rPr>
                <w:b/>
                <w:bCs/>
                <w:sz w:val="18"/>
                <w:szCs w:val="18"/>
              </w:rPr>
            </w:pPr>
            <w:r>
              <w:rPr>
                <w:b/>
                <w:bCs/>
                <w:sz w:val="18"/>
                <w:szCs w:val="18"/>
              </w:rPr>
              <w:t>Repository Agent</w:t>
            </w:r>
          </w:p>
        </w:tc>
        <w:tc>
          <w:tcPr>
            <w:tcW w:w="6450" w:type="dxa"/>
            <w:tcBorders>
              <w:top w:val="single" w:sz="7" w:space="0" w:color="005B52"/>
              <w:left w:val="single" w:sz="7" w:space="0" w:color="005B52"/>
              <w:bottom w:val="single" w:sz="7" w:space="0" w:color="005B52"/>
              <w:right w:val="single" w:sz="7" w:space="0" w:color="005B52"/>
            </w:tcBorders>
            <w:shd w:val="clear" w:color="auto" w:fill="EDF7F5"/>
            <w:tcMar>
              <w:top w:w="80" w:type="dxa"/>
              <w:left w:w="120" w:type="dxa"/>
              <w:bottom w:w="80" w:type="dxa"/>
              <w:right w:w="120" w:type="dxa"/>
            </w:tcMar>
          </w:tcPr>
          <w:p w14:paraId="000003A0" w14:textId="77777777" w:rsidR="00031725" w:rsidRDefault="00000000">
            <w:pPr>
              <w:spacing w:after="0"/>
              <w:rPr>
                <w:sz w:val="18"/>
                <w:szCs w:val="18"/>
              </w:rPr>
            </w:pPr>
            <w:r>
              <w:rPr>
                <w:sz w:val="18"/>
                <w:szCs w:val="18"/>
              </w:rPr>
              <w:t>Discovers related datasets, recommend repositories (repository selection)</w:t>
            </w:r>
          </w:p>
        </w:tc>
      </w:tr>
      <w:tr w:rsidR="00031725" w14:paraId="3B4BEB68" w14:textId="77777777">
        <w:trPr>
          <w:trHeight w:val="375"/>
        </w:trPr>
        <w:tc>
          <w:tcPr>
            <w:tcW w:w="2550" w:type="dxa"/>
            <w:tcBorders>
              <w:top w:val="single" w:sz="7" w:space="0" w:color="005B52"/>
              <w:left w:val="single" w:sz="7" w:space="0" w:color="005B52"/>
              <w:bottom w:val="single" w:sz="7" w:space="0" w:color="005B52"/>
              <w:right w:val="single" w:sz="7" w:space="0" w:color="005B52"/>
            </w:tcBorders>
            <w:shd w:val="clear" w:color="auto" w:fill="FFFFFF"/>
            <w:tcMar>
              <w:top w:w="80" w:type="dxa"/>
              <w:left w:w="120" w:type="dxa"/>
              <w:bottom w:w="80" w:type="dxa"/>
              <w:right w:w="120" w:type="dxa"/>
            </w:tcMar>
          </w:tcPr>
          <w:p w14:paraId="000003A1" w14:textId="77777777" w:rsidR="00031725" w:rsidRDefault="00000000">
            <w:pPr>
              <w:spacing w:after="0"/>
              <w:rPr>
                <w:b/>
                <w:bCs/>
                <w:sz w:val="18"/>
                <w:szCs w:val="18"/>
              </w:rPr>
            </w:pPr>
            <w:r>
              <w:rPr>
                <w:b/>
                <w:bCs/>
                <w:sz w:val="18"/>
                <w:szCs w:val="18"/>
              </w:rPr>
              <w:t>Provenance Agent</w:t>
            </w:r>
          </w:p>
        </w:tc>
        <w:tc>
          <w:tcPr>
            <w:tcW w:w="6450" w:type="dxa"/>
            <w:tcBorders>
              <w:top w:val="single" w:sz="7" w:space="0" w:color="005B52"/>
              <w:left w:val="single" w:sz="7" w:space="0" w:color="005B52"/>
              <w:bottom w:val="single" w:sz="7" w:space="0" w:color="005B52"/>
              <w:right w:val="single" w:sz="7" w:space="0" w:color="005B52"/>
            </w:tcBorders>
            <w:shd w:val="clear" w:color="auto" w:fill="FFFFFF"/>
            <w:tcMar>
              <w:top w:w="80" w:type="dxa"/>
              <w:left w:w="120" w:type="dxa"/>
              <w:bottom w:w="80" w:type="dxa"/>
              <w:right w:w="120" w:type="dxa"/>
            </w:tcMar>
          </w:tcPr>
          <w:p w14:paraId="000003A2" w14:textId="77777777" w:rsidR="00031725" w:rsidRDefault="00000000">
            <w:pPr>
              <w:spacing w:after="0"/>
              <w:rPr>
                <w:sz w:val="18"/>
                <w:szCs w:val="18"/>
              </w:rPr>
            </w:pPr>
            <w:r>
              <w:rPr>
                <w:sz w:val="18"/>
                <w:szCs w:val="18"/>
              </w:rPr>
              <w:t>Records traceability, lineage</w:t>
            </w:r>
          </w:p>
        </w:tc>
      </w:tr>
      <w:tr w:rsidR="00031725" w14:paraId="6A92D8BC" w14:textId="77777777">
        <w:trPr>
          <w:trHeight w:val="375"/>
        </w:trPr>
        <w:tc>
          <w:tcPr>
            <w:tcW w:w="2550" w:type="dxa"/>
            <w:tcBorders>
              <w:top w:val="single" w:sz="7" w:space="0" w:color="005B52"/>
              <w:left w:val="single" w:sz="7" w:space="0" w:color="005B52"/>
              <w:bottom w:val="single" w:sz="7" w:space="0" w:color="005B52"/>
              <w:right w:val="single" w:sz="7" w:space="0" w:color="005B52"/>
            </w:tcBorders>
            <w:shd w:val="clear" w:color="auto" w:fill="EDF7F5"/>
            <w:tcMar>
              <w:top w:w="80" w:type="dxa"/>
              <w:left w:w="120" w:type="dxa"/>
              <w:bottom w:w="80" w:type="dxa"/>
              <w:right w:w="120" w:type="dxa"/>
            </w:tcMar>
          </w:tcPr>
          <w:p w14:paraId="000003A3" w14:textId="77777777" w:rsidR="00031725" w:rsidRDefault="00000000">
            <w:pPr>
              <w:spacing w:after="0"/>
              <w:rPr>
                <w:b/>
                <w:bCs/>
                <w:sz w:val="18"/>
                <w:szCs w:val="18"/>
              </w:rPr>
            </w:pPr>
            <w:r>
              <w:rPr>
                <w:b/>
                <w:bCs/>
                <w:sz w:val="18"/>
                <w:szCs w:val="18"/>
              </w:rPr>
              <w:t>Validation Agent</w:t>
            </w:r>
          </w:p>
        </w:tc>
        <w:tc>
          <w:tcPr>
            <w:tcW w:w="6450" w:type="dxa"/>
            <w:tcBorders>
              <w:top w:val="single" w:sz="7" w:space="0" w:color="005B52"/>
              <w:left w:val="single" w:sz="7" w:space="0" w:color="005B52"/>
              <w:bottom w:val="single" w:sz="7" w:space="0" w:color="005B52"/>
              <w:right w:val="single" w:sz="7" w:space="0" w:color="005B52"/>
            </w:tcBorders>
            <w:shd w:val="clear" w:color="auto" w:fill="EDF7F5"/>
            <w:tcMar>
              <w:top w:w="80" w:type="dxa"/>
              <w:left w:w="120" w:type="dxa"/>
              <w:bottom w:w="80" w:type="dxa"/>
              <w:right w:w="120" w:type="dxa"/>
            </w:tcMar>
          </w:tcPr>
          <w:p w14:paraId="000003A4" w14:textId="77777777" w:rsidR="00031725" w:rsidRDefault="00000000">
            <w:pPr>
              <w:spacing w:after="0"/>
              <w:rPr>
                <w:sz w:val="18"/>
                <w:szCs w:val="18"/>
              </w:rPr>
            </w:pPr>
            <w:r>
              <w:rPr>
                <w:sz w:val="18"/>
                <w:szCs w:val="18"/>
              </w:rPr>
              <w:t>Validates standards compliance, FAIR-alignment, governance constraints</w:t>
            </w:r>
          </w:p>
        </w:tc>
      </w:tr>
    </w:tbl>
    <w:p w14:paraId="000003A5" w14:textId="3C4D753E" w:rsidR="00031725" w:rsidRDefault="00000000">
      <w:pPr>
        <w:pStyle w:val="Heading2"/>
        <w:spacing w:after="80"/>
      </w:pPr>
      <w:bookmarkStart w:id="43" w:name="_Toc233654412"/>
      <w:r>
        <w:t>9.5 Data Layer</w:t>
      </w:r>
      <w:bookmarkEnd w:id="43"/>
    </w:p>
    <w:p w14:paraId="000003A6" w14:textId="77777777" w:rsidR="00031725" w:rsidRDefault="00000000" w:rsidP="00ED1E3F">
      <w:r>
        <w:t xml:space="preserve">The data layer manages all persistent storage, including dataset submissions, metadata records, policy configurations, audit logs and the knowledge sources used by the AI components (Table 8). </w:t>
      </w:r>
    </w:p>
    <w:p w14:paraId="4AC253D4" w14:textId="77777777" w:rsidR="00ED1E3F" w:rsidRDefault="00ED1E3F" w:rsidP="00ED1E3F"/>
    <w:p w14:paraId="306397B9" w14:textId="77777777" w:rsidR="00ED1E3F" w:rsidRDefault="00ED1E3F" w:rsidP="00ED1E3F"/>
    <w:p w14:paraId="052B3459" w14:textId="77777777" w:rsidR="00233914" w:rsidRDefault="00233914" w:rsidP="00ED1E3F"/>
    <w:p w14:paraId="123590A4" w14:textId="77777777" w:rsidR="00233914" w:rsidRDefault="00233914" w:rsidP="00ED1E3F"/>
    <w:p w14:paraId="2BA6BB68" w14:textId="77777777" w:rsidR="00ED1E3F" w:rsidRDefault="00ED1E3F" w:rsidP="00ED1E3F"/>
    <w:p w14:paraId="000003A7" w14:textId="77777777" w:rsidR="00031725" w:rsidRDefault="00000000">
      <w:r>
        <w:rPr>
          <w:b/>
          <w:bCs/>
          <w:sz w:val="18"/>
          <w:szCs w:val="18"/>
        </w:rPr>
        <w:lastRenderedPageBreak/>
        <w:t xml:space="preserve">Table 8. </w:t>
      </w:r>
      <w:r>
        <w:rPr>
          <w:sz w:val="18"/>
          <w:szCs w:val="18"/>
        </w:rPr>
        <w:t>Data layer components, with their descriptions and associated requirements, that manage persistent storage, metadata, lineage, and operational memory for the Data Director.</w:t>
      </w:r>
    </w:p>
    <w:tbl>
      <w:tblPr>
        <w:tblStyle w:val="a8"/>
        <w:tblW w:w="90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50"/>
        <w:gridCol w:w="6450"/>
      </w:tblGrid>
      <w:tr w:rsidR="00031725" w14:paraId="1E9189FA" w14:textId="77777777">
        <w:trPr>
          <w:trHeight w:val="450"/>
        </w:trPr>
        <w:tc>
          <w:tcPr>
            <w:tcW w:w="2550" w:type="dxa"/>
            <w:tcBorders>
              <w:top w:val="single" w:sz="7" w:space="0" w:color="005B52"/>
              <w:left w:val="single" w:sz="7" w:space="0" w:color="005B52"/>
              <w:bottom w:val="single" w:sz="7" w:space="0" w:color="005B52"/>
              <w:right w:val="single" w:sz="7" w:space="0" w:color="005B52"/>
            </w:tcBorders>
            <w:shd w:val="clear" w:color="auto" w:fill="005B52"/>
            <w:tcMar>
              <w:top w:w="100" w:type="dxa"/>
              <w:left w:w="120" w:type="dxa"/>
              <w:bottom w:w="100" w:type="dxa"/>
              <w:right w:w="120" w:type="dxa"/>
            </w:tcMar>
          </w:tcPr>
          <w:p w14:paraId="000003A8" w14:textId="77777777" w:rsidR="00031725" w:rsidRDefault="00000000">
            <w:pPr>
              <w:spacing w:after="0"/>
              <w:rPr>
                <w:b/>
                <w:bCs/>
                <w:color w:val="FFFFFF"/>
                <w:sz w:val="18"/>
                <w:szCs w:val="18"/>
              </w:rPr>
            </w:pPr>
            <w:r>
              <w:rPr>
                <w:b/>
                <w:bCs/>
                <w:color w:val="FFFFFF"/>
                <w:sz w:val="18"/>
                <w:szCs w:val="18"/>
              </w:rPr>
              <w:t>Component</w:t>
            </w:r>
          </w:p>
        </w:tc>
        <w:tc>
          <w:tcPr>
            <w:tcW w:w="6450" w:type="dxa"/>
            <w:tcBorders>
              <w:top w:val="single" w:sz="7" w:space="0" w:color="005B52"/>
              <w:left w:val="single" w:sz="7" w:space="0" w:color="005B52"/>
              <w:bottom w:val="single" w:sz="7" w:space="0" w:color="005B52"/>
              <w:right w:val="single" w:sz="7" w:space="0" w:color="005B52"/>
            </w:tcBorders>
            <w:shd w:val="clear" w:color="auto" w:fill="005B52"/>
            <w:tcMar>
              <w:top w:w="100" w:type="dxa"/>
              <w:left w:w="120" w:type="dxa"/>
              <w:bottom w:w="100" w:type="dxa"/>
              <w:right w:w="120" w:type="dxa"/>
            </w:tcMar>
          </w:tcPr>
          <w:p w14:paraId="000003A9" w14:textId="77777777" w:rsidR="00031725" w:rsidRDefault="00000000">
            <w:pPr>
              <w:spacing w:after="0"/>
              <w:rPr>
                <w:b/>
                <w:bCs/>
                <w:color w:val="FFFFFF"/>
                <w:sz w:val="18"/>
                <w:szCs w:val="18"/>
              </w:rPr>
            </w:pPr>
            <w:r>
              <w:rPr>
                <w:b/>
                <w:bCs/>
                <w:color w:val="FFFFFF"/>
                <w:sz w:val="18"/>
                <w:szCs w:val="18"/>
              </w:rPr>
              <w:t>Description/Requirement</w:t>
            </w:r>
          </w:p>
        </w:tc>
      </w:tr>
      <w:tr w:rsidR="00031725" w14:paraId="506701F4" w14:textId="77777777">
        <w:trPr>
          <w:trHeight w:val="990"/>
        </w:trPr>
        <w:tc>
          <w:tcPr>
            <w:tcW w:w="2550" w:type="dxa"/>
            <w:tcBorders>
              <w:top w:val="single" w:sz="7" w:space="0" w:color="005B52"/>
              <w:left w:val="single" w:sz="7" w:space="0" w:color="005B52"/>
              <w:bottom w:val="single" w:sz="7" w:space="0" w:color="005B52"/>
              <w:right w:val="single" w:sz="7" w:space="0" w:color="005B52"/>
            </w:tcBorders>
            <w:shd w:val="clear" w:color="auto" w:fill="FFFFFF"/>
            <w:tcMar>
              <w:top w:w="80" w:type="dxa"/>
              <w:left w:w="120" w:type="dxa"/>
              <w:bottom w:w="80" w:type="dxa"/>
              <w:right w:w="120" w:type="dxa"/>
            </w:tcMar>
          </w:tcPr>
          <w:p w14:paraId="000003AA" w14:textId="77777777" w:rsidR="00031725" w:rsidRDefault="00000000">
            <w:pPr>
              <w:spacing w:after="0"/>
              <w:rPr>
                <w:b/>
                <w:bCs/>
                <w:sz w:val="18"/>
                <w:szCs w:val="18"/>
              </w:rPr>
            </w:pPr>
            <w:r>
              <w:rPr>
                <w:b/>
                <w:bCs/>
                <w:sz w:val="18"/>
                <w:szCs w:val="18"/>
              </w:rPr>
              <w:t>Metadata Management</w:t>
            </w:r>
          </w:p>
        </w:tc>
        <w:tc>
          <w:tcPr>
            <w:tcW w:w="6450" w:type="dxa"/>
            <w:tcBorders>
              <w:top w:val="single" w:sz="7" w:space="0" w:color="005B52"/>
              <w:left w:val="single" w:sz="7" w:space="0" w:color="005B52"/>
              <w:bottom w:val="single" w:sz="7" w:space="0" w:color="005B52"/>
              <w:right w:val="single" w:sz="7" w:space="0" w:color="005B52"/>
            </w:tcBorders>
            <w:shd w:val="clear" w:color="auto" w:fill="FFFFFF"/>
            <w:tcMar>
              <w:top w:w="80" w:type="dxa"/>
              <w:left w:w="120" w:type="dxa"/>
              <w:bottom w:w="80" w:type="dxa"/>
              <w:right w:w="120" w:type="dxa"/>
            </w:tcMar>
          </w:tcPr>
          <w:p w14:paraId="000003AB" w14:textId="77777777" w:rsidR="00031725" w:rsidRDefault="00000000">
            <w:pPr>
              <w:spacing w:after="0"/>
              <w:rPr>
                <w:sz w:val="18"/>
                <w:szCs w:val="18"/>
              </w:rPr>
            </w:pPr>
            <w:r>
              <w:rPr>
                <w:sz w:val="18"/>
                <w:szCs w:val="18"/>
              </w:rPr>
              <w:t>Data service capability that stores, governs, and exposes structured information about AI systems, data assets, models, agents, prompts, tools, and workflows to enable discoverability, governance, reuse, and traceability across the AI lifecycle</w:t>
            </w:r>
          </w:p>
        </w:tc>
      </w:tr>
      <w:tr w:rsidR="00031725" w14:paraId="1AC2C815" w14:textId="77777777">
        <w:trPr>
          <w:trHeight w:val="795"/>
        </w:trPr>
        <w:tc>
          <w:tcPr>
            <w:tcW w:w="2550" w:type="dxa"/>
            <w:tcBorders>
              <w:top w:val="single" w:sz="7" w:space="0" w:color="005B52"/>
              <w:left w:val="single" w:sz="7" w:space="0" w:color="005B52"/>
              <w:bottom w:val="single" w:sz="7" w:space="0" w:color="005B52"/>
              <w:right w:val="single" w:sz="7" w:space="0" w:color="005B52"/>
            </w:tcBorders>
            <w:shd w:val="clear" w:color="auto" w:fill="EDF7F5"/>
            <w:tcMar>
              <w:top w:w="80" w:type="dxa"/>
              <w:left w:w="120" w:type="dxa"/>
              <w:bottom w:w="80" w:type="dxa"/>
              <w:right w:w="120" w:type="dxa"/>
            </w:tcMar>
          </w:tcPr>
          <w:p w14:paraId="000003AC" w14:textId="77777777" w:rsidR="00031725" w:rsidRDefault="00000000">
            <w:pPr>
              <w:spacing w:after="0"/>
              <w:rPr>
                <w:b/>
                <w:bCs/>
                <w:sz w:val="18"/>
                <w:szCs w:val="18"/>
              </w:rPr>
            </w:pPr>
            <w:r>
              <w:rPr>
                <w:b/>
                <w:bCs/>
                <w:sz w:val="18"/>
                <w:szCs w:val="18"/>
              </w:rPr>
              <w:t>Lineage</w:t>
            </w:r>
          </w:p>
        </w:tc>
        <w:tc>
          <w:tcPr>
            <w:tcW w:w="6450" w:type="dxa"/>
            <w:tcBorders>
              <w:top w:val="single" w:sz="7" w:space="0" w:color="005B52"/>
              <w:left w:val="single" w:sz="7" w:space="0" w:color="005B52"/>
              <w:bottom w:val="single" w:sz="7" w:space="0" w:color="005B52"/>
              <w:right w:val="single" w:sz="7" w:space="0" w:color="005B52"/>
            </w:tcBorders>
            <w:shd w:val="clear" w:color="auto" w:fill="EDF7F5"/>
            <w:tcMar>
              <w:top w:w="80" w:type="dxa"/>
              <w:left w:w="120" w:type="dxa"/>
              <w:bottom w:w="80" w:type="dxa"/>
              <w:right w:w="120" w:type="dxa"/>
            </w:tcMar>
          </w:tcPr>
          <w:p w14:paraId="000003AD" w14:textId="77777777" w:rsidR="00031725" w:rsidRDefault="00000000">
            <w:pPr>
              <w:spacing w:after="0"/>
              <w:rPr>
                <w:sz w:val="18"/>
                <w:szCs w:val="18"/>
              </w:rPr>
            </w:pPr>
            <w:r>
              <w:rPr>
                <w:sz w:val="18"/>
                <w:szCs w:val="18"/>
              </w:rPr>
              <w:t>Data service capability which records the end-to-end history, dependencies, and flow of data, prompts, models, and outputs across an AI system to provide full traceability from source to outcome</w:t>
            </w:r>
          </w:p>
        </w:tc>
      </w:tr>
      <w:tr w:rsidR="00031725" w14:paraId="3D828A52" w14:textId="77777777">
        <w:trPr>
          <w:trHeight w:val="795"/>
        </w:trPr>
        <w:tc>
          <w:tcPr>
            <w:tcW w:w="2550" w:type="dxa"/>
            <w:tcBorders>
              <w:top w:val="single" w:sz="7" w:space="0" w:color="005B52"/>
              <w:left w:val="single" w:sz="7" w:space="0" w:color="005B52"/>
              <w:bottom w:val="single" w:sz="7" w:space="0" w:color="005B52"/>
              <w:right w:val="single" w:sz="7" w:space="0" w:color="005B52"/>
            </w:tcBorders>
            <w:shd w:val="clear" w:color="auto" w:fill="FFFFFF"/>
            <w:tcMar>
              <w:top w:w="80" w:type="dxa"/>
              <w:left w:w="120" w:type="dxa"/>
              <w:bottom w:w="80" w:type="dxa"/>
              <w:right w:w="120" w:type="dxa"/>
            </w:tcMar>
          </w:tcPr>
          <w:p w14:paraId="000003AE" w14:textId="77777777" w:rsidR="00031725" w:rsidRDefault="00000000">
            <w:pPr>
              <w:spacing w:after="0"/>
              <w:rPr>
                <w:b/>
                <w:bCs/>
                <w:sz w:val="18"/>
                <w:szCs w:val="18"/>
              </w:rPr>
            </w:pPr>
            <w:r>
              <w:rPr>
                <w:b/>
                <w:bCs/>
                <w:sz w:val="18"/>
                <w:szCs w:val="18"/>
              </w:rPr>
              <w:t>Storage</w:t>
            </w:r>
          </w:p>
        </w:tc>
        <w:tc>
          <w:tcPr>
            <w:tcW w:w="6450" w:type="dxa"/>
            <w:tcBorders>
              <w:top w:val="single" w:sz="7" w:space="0" w:color="005B52"/>
              <w:left w:val="single" w:sz="7" w:space="0" w:color="005B52"/>
              <w:bottom w:val="single" w:sz="7" w:space="0" w:color="005B52"/>
              <w:right w:val="single" w:sz="7" w:space="0" w:color="005B52"/>
            </w:tcBorders>
            <w:shd w:val="clear" w:color="auto" w:fill="FFFFFF"/>
            <w:tcMar>
              <w:top w:w="80" w:type="dxa"/>
              <w:left w:w="120" w:type="dxa"/>
              <w:bottom w:w="80" w:type="dxa"/>
              <w:right w:w="120" w:type="dxa"/>
            </w:tcMar>
          </w:tcPr>
          <w:p w14:paraId="000003AF" w14:textId="77777777" w:rsidR="00031725" w:rsidRDefault="00000000">
            <w:pPr>
              <w:spacing w:after="0"/>
              <w:rPr>
                <w:sz w:val="18"/>
                <w:szCs w:val="18"/>
              </w:rPr>
            </w:pPr>
            <w:r>
              <w:rPr>
                <w:sz w:val="18"/>
                <w:szCs w:val="18"/>
              </w:rPr>
              <w:t>Foundational capability responsible for storing and retrieving all data, artefacts, and operational state required by AI models, agents, workflows, and supporting services</w:t>
            </w:r>
          </w:p>
        </w:tc>
      </w:tr>
      <w:tr w:rsidR="00031725" w14:paraId="54014A93" w14:textId="77777777">
        <w:trPr>
          <w:trHeight w:val="990"/>
        </w:trPr>
        <w:tc>
          <w:tcPr>
            <w:tcW w:w="2550" w:type="dxa"/>
            <w:tcBorders>
              <w:top w:val="single" w:sz="7" w:space="0" w:color="005B52"/>
              <w:left w:val="single" w:sz="7" w:space="0" w:color="005B52"/>
              <w:bottom w:val="single" w:sz="7" w:space="0" w:color="005B52"/>
              <w:right w:val="single" w:sz="7" w:space="0" w:color="005B52"/>
            </w:tcBorders>
            <w:shd w:val="clear" w:color="auto" w:fill="EDF7F5"/>
            <w:tcMar>
              <w:top w:w="80" w:type="dxa"/>
              <w:left w:w="120" w:type="dxa"/>
              <w:bottom w:w="80" w:type="dxa"/>
              <w:right w:w="120" w:type="dxa"/>
            </w:tcMar>
          </w:tcPr>
          <w:p w14:paraId="000003B0" w14:textId="77777777" w:rsidR="00031725" w:rsidRDefault="00000000">
            <w:pPr>
              <w:spacing w:after="0"/>
              <w:rPr>
                <w:b/>
                <w:bCs/>
                <w:sz w:val="18"/>
                <w:szCs w:val="18"/>
              </w:rPr>
            </w:pPr>
            <w:r>
              <w:rPr>
                <w:b/>
                <w:bCs/>
                <w:sz w:val="18"/>
                <w:szCs w:val="18"/>
              </w:rPr>
              <w:t>Immutable Storage</w:t>
            </w:r>
          </w:p>
        </w:tc>
        <w:tc>
          <w:tcPr>
            <w:tcW w:w="6450" w:type="dxa"/>
            <w:tcBorders>
              <w:top w:val="single" w:sz="7" w:space="0" w:color="005B52"/>
              <w:left w:val="single" w:sz="7" w:space="0" w:color="005B52"/>
              <w:bottom w:val="single" w:sz="7" w:space="0" w:color="005B52"/>
              <w:right w:val="single" w:sz="7" w:space="0" w:color="005B52"/>
            </w:tcBorders>
            <w:shd w:val="clear" w:color="auto" w:fill="EDF7F5"/>
            <w:tcMar>
              <w:top w:w="80" w:type="dxa"/>
              <w:left w:w="120" w:type="dxa"/>
              <w:bottom w:w="80" w:type="dxa"/>
              <w:right w:w="120" w:type="dxa"/>
            </w:tcMar>
          </w:tcPr>
          <w:p w14:paraId="000003B1" w14:textId="77777777" w:rsidR="00031725" w:rsidRDefault="00000000">
            <w:pPr>
              <w:spacing w:after="0"/>
              <w:rPr>
                <w:sz w:val="18"/>
                <w:szCs w:val="18"/>
              </w:rPr>
            </w:pPr>
            <w:r>
              <w:rPr>
                <w:sz w:val="18"/>
                <w:szCs w:val="18"/>
              </w:rPr>
              <w:t>Storage capability designed to securely capture, preserve, and retain all critical AI system events, such as audit logs, user feedback, agent traces, and operational telemetry, in a tamper-evident, write-once, append-only format</w:t>
            </w:r>
          </w:p>
        </w:tc>
      </w:tr>
      <w:tr w:rsidR="00031725" w14:paraId="5096BAA0" w14:textId="77777777">
        <w:trPr>
          <w:trHeight w:val="1200"/>
        </w:trPr>
        <w:tc>
          <w:tcPr>
            <w:tcW w:w="2550" w:type="dxa"/>
            <w:tcBorders>
              <w:top w:val="single" w:sz="7" w:space="0" w:color="005B52"/>
              <w:left w:val="single" w:sz="7" w:space="0" w:color="005B52"/>
              <w:bottom w:val="single" w:sz="7" w:space="0" w:color="005B52"/>
              <w:right w:val="single" w:sz="7" w:space="0" w:color="005B52"/>
            </w:tcBorders>
            <w:shd w:val="clear" w:color="auto" w:fill="FFFFFF"/>
            <w:tcMar>
              <w:top w:w="80" w:type="dxa"/>
              <w:left w:w="120" w:type="dxa"/>
              <w:bottom w:w="80" w:type="dxa"/>
              <w:right w:w="120" w:type="dxa"/>
            </w:tcMar>
          </w:tcPr>
          <w:p w14:paraId="000003B2" w14:textId="77777777" w:rsidR="00031725" w:rsidRDefault="00000000">
            <w:pPr>
              <w:spacing w:after="0"/>
              <w:rPr>
                <w:b/>
                <w:bCs/>
                <w:sz w:val="18"/>
                <w:szCs w:val="18"/>
              </w:rPr>
            </w:pPr>
            <w:r>
              <w:rPr>
                <w:b/>
                <w:bCs/>
                <w:sz w:val="18"/>
                <w:szCs w:val="18"/>
              </w:rPr>
              <w:t>Vector Database</w:t>
            </w:r>
          </w:p>
        </w:tc>
        <w:tc>
          <w:tcPr>
            <w:tcW w:w="6450" w:type="dxa"/>
            <w:tcBorders>
              <w:top w:val="single" w:sz="7" w:space="0" w:color="005B52"/>
              <w:left w:val="single" w:sz="7" w:space="0" w:color="005B52"/>
              <w:bottom w:val="single" w:sz="7" w:space="0" w:color="005B52"/>
              <w:right w:val="single" w:sz="7" w:space="0" w:color="005B52"/>
            </w:tcBorders>
            <w:shd w:val="clear" w:color="auto" w:fill="FFFFFF"/>
            <w:tcMar>
              <w:top w:w="80" w:type="dxa"/>
              <w:left w:w="120" w:type="dxa"/>
              <w:bottom w:w="80" w:type="dxa"/>
              <w:right w:w="120" w:type="dxa"/>
            </w:tcMar>
          </w:tcPr>
          <w:p w14:paraId="000003B3" w14:textId="77777777" w:rsidR="00031725" w:rsidRDefault="00000000">
            <w:pPr>
              <w:spacing w:after="0"/>
              <w:rPr>
                <w:sz w:val="18"/>
                <w:szCs w:val="18"/>
              </w:rPr>
            </w:pPr>
            <w:r>
              <w:rPr>
                <w:sz w:val="18"/>
                <w:szCs w:val="18"/>
              </w:rPr>
              <w:t>Data service capability that stores, indexes, and retrieves high-dimensional vector representations of data to enable semantic search and Retrieval-Augmented Generation (RAG) in AI systems. Enables intelligent search and context injection by storing and retrieving meaning-based representations of enterprise knowledge to ground AI outputs in accurate, relevant information</w:t>
            </w:r>
          </w:p>
        </w:tc>
      </w:tr>
      <w:tr w:rsidR="00031725" w14:paraId="41826211" w14:textId="77777777">
        <w:trPr>
          <w:trHeight w:val="990"/>
        </w:trPr>
        <w:tc>
          <w:tcPr>
            <w:tcW w:w="2550" w:type="dxa"/>
            <w:tcBorders>
              <w:top w:val="single" w:sz="7" w:space="0" w:color="005B52"/>
              <w:left w:val="single" w:sz="7" w:space="0" w:color="005B52"/>
              <w:bottom w:val="single" w:sz="7" w:space="0" w:color="005B52"/>
              <w:right w:val="single" w:sz="7" w:space="0" w:color="005B52"/>
            </w:tcBorders>
            <w:shd w:val="clear" w:color="auto" w:fill="EDF7F5"/>
            <w:tcMar>
              <w:top w:w="80" w:type="dxa"/>
              <w:left w:w="120" w:type="dxa"/>
              <w:bottom w:w="80" w:type="dxa"/>
              <w:right w:w="120" w:type="dxa"/>
            </w:tcMar>
          </w:tcPr>
          <w:p w14:paraId="000003B4" w14:textId="77777777" w:rsidR="00031725" w:rsidRDefault="00000000">
            <w:pPr>
              <w:spacing w:after="0"/>
              <w:rPr>
                <w:b/>
                <w:bCs/>
                <w:sz w:val="18"/>
                <w:szCs w:val="18"/>
              </w:rPr>
            </w:pPr>
            <w:r>
              <w:rPr>
                <w:b/>
                <w:bCs/>
                <w:sz w:val="18"/>
                <w:szCs w:val="18"/>
              </w:rPr>
              <w:t>Data Pipelines</w:t>
            </w:r>
          </w:p>
        </w:tc>
        <w:tc>
          <w:tcPr>
            <w:tcW w:w="6450" w:type="dxa"/>
            <w:tcBorders>
              <w:top w:val="single" w:sz="7" w:space="0" w:color="005B52"/>
              <w:left w:val="single" w:sz="7" w:space="0" w:color="005B52"/>
              <w:bottom w:val="single" w:sz="7" w:space="0" w:color="005B52"/>
              <w:right w:val="single" w:sz="7" w:space="0" w:color="005B52"/>
            </w:tcBorders>
            <w:shd w:val="clear" w:color="auto" w:fill="EDF7F5"/>
            <w:tcMar>
              <w:top w:w="80" w:type="dxa"/>
              <w:left w:w="120" w:type="dxa"/>
              <w:bottom w:w="80" w:type="dxa"/>
              <w:right w:w="120" w:type="dxa"/>
            </w:tcMar>
          </w:tcPr>
          <w:p w14:paraId="000003B5" w14:textId="77777777" w:rsidR="00031725" w:rsidRDefault="00000000">
            <w:pPr>
              <w:spacing w:after="0"/>
              <w:rPr>
                <w:sz w:val="18"/>
                <w:szCs w:val="18"/>
              </w:rPr>
            </w:pPr>
            <w:r>
              <w:rPr>
                <w:sz w:val="18"/>
                <w:szCs w:val="18"/>
              </w:rPr>
              <w:t>Responsible for ingesting, conditioning, transforming, moving, and preparing data across systems while ensuring sensitive information can be securely masked, anonymised, or pseudonymised in accordance with governance, privacy, and compliance requirements.</w:t>
            </w:r>
          </w:p>
        </w:tc>
      </w:tr>
      <w:tr w:rsidR="00031725" w14:paraId="41F90D21" w14:textId="77777777">
        <w:trPr>
          <w:trHeight w:val="990"/>
        </w:trPr>
        <w:tc>
          <w:tcPr>
            <w:tcW w:w="2550" w:type="dxa"/>
            <w:tcBorders>
              <w:top w:val="single" w:sz="7" w:space="0" w:color="005B52"/>
              <w:left w:val="single" w:sz="7" w:space="0" w:color="005B52"/>
              <w:bottom w:val="single" w:sz="7" w:space="0" w:color="005B52"/>
              <w:right w:val="single" w:sz="7" w:space="0" w:color="005B52"/>
            </w:tcBorders>
            <w:shd w:val="clear" w:color="auto" w:fill="FFFFFF"/>
            <w:tcMar>
              <w:top w:w="80" w:type="dxa"/>
              <w:left w:w="120" w:type="dxa"/>
              <w:bottom w:w="80" w:type="dxa"/>
              <w:right w:w="120" w:type="dxa"/>
            </w:tcMar>
          </w:tcPr>
          <w:p w14:paraId="000003B6" w14:textId="77777777" w:rsidR="00031725" w:rsidRDefault="00000000">
            <w:pPr>
              <w:spacing w:after="0"/>
              <w:rPr>
                <w:b/>
                <w:bCs/>
                <w:sz w:val="18"/>
                <w:szCs w:val="18"/>
              </w:rPr>
            </w:pPr>
            <w:r>
              <w:rPr>
                <w:b/>
                <w:bCs/>
                <w:sz w:val="18"/>
                <w:szCs w:val="18"/>
              </w:rPr>
              <w:t>NoSQL Document Store</w:t>
            </w:r>
          </w:p>
        </w:tc>
        <w:tc>
          <w:tcPr>
            <w:tcW w:w="6450" w:type="dxa"/>
            <w:tcBorders>
              <w:top w:val="single" w:sz="7" w:space="0" w:color="005B52"/>
              <w:left w:val="single" w:sz="7" w:space="0" w:color="005B52"/>
              <w:bottom w:val="single" w:sz="7" w:space="0" w:color="005B52"/>
              <w:right w:val="single" w:sz="7" w:space="0" w:color="005B52"/>
            </w:tcBorders>
            <w:shd w:val="clear" w:color="auto" w:fill="FFFFFF"/>
            <w:tcMar>
              <w:top w:w="80" w:type="dxa"/>
              <w:left w:w="120" w:type="dxa"/>
              <w:bottom w:w="80" w:type="dxa"/>
              <w:right w:w="120" w:type="dxa"/>
            </w:tcMar>
          </w:tcPr>
          <w:p w14:paraId="000003B7" w14:textId="77777777" w:rsidR="00031725" w:rsidRDefault="00000000">
            <w:pPr>
              <w:spacing w:after="0"/>
              <w:rPr>
                <w:sz w:val="18"/>
                <w:szCs w:val="18"/>
              </w:rPr>
            </w:pPr>
            <w:r>
              <w:rPr>
                <w:sz w:val="18"/>
                <w:szCs w:val="18"/>
              </w:rPr>
              <w:t>NoSQL capability used as the operational memory layer for AI systems and agents. It stores semi-structured information such as conversation history (memory), user profiles, session state, workflow checkpoints, and derived “semantic memories” used for retrieval-augmented generation (RAG).</w:t>
            </w:r>
          </w:p>
        </w:tc>
      </w:tr>
    </w:tbl>
    <w:p w14:paraId="000003B8" w14:textId="36703C9B" w:rsidR="00031725" w:rsidRDefault="00000000">
      <w:pPr>
        <w:pStyle w:val="Heading2"/>
        <w:spacing w:after="80"/>
      </w:pPr>
      <w:bookmarkStart w:id="44" w:name="_Toc233654413"/>
      <w:r>
        <w:t>9.6 Platform and Integration Layer</w:t>
      </w:r>
      <w:bookmarkEnd w:id="44"/>
    </w:p>
    <w:p w14:paraId="000003B9" w14:textId="77777777" w:rsidR="00031725" w:rsidRDefault="00000000">
      <w:r>
        <w:t xml:space="preserve">The platform layer provides the computation, networking, identity and messaging infrastructure on which the Data Director runs. The integration layer manages connectivity with external systems (Table 9). </w:t>
      </w:r>
    </w:p>
    <w:p w14:paraId="2CAB705B" w14:textId="77777777" w:rsidR="00ED1E3F" w:rsidRDefault="00ED1E3F"/>
    <w:p w14:paraId="124595FC" w14:textId="77777777" w:rsidR="00ED1E3F" w:rsidRDefault="00ED1E3F"/>
    <w:p w14:paraId="5F7BAFA6" w14:textId="77777777" w:rsidR="00ED1E3F" w:rsidRDefault="00ED1E3F"/>
    <w:p w14:paraId="6C13E634" w14:textId="77777777" w:rsidR="00ED1E3F" w:rsidRDefault="00ED1E3F"/>
    <w:p w14:paraId="000003BA" w14:textId="77777777" w:rsidR="00031725" w:rsidRDefault="00000000">
      <w:r>
        <w:rPr>
          <w:b/>
          <w:bCs/>
          <w:sz w:val="18"/>
          <w:szCs w:val="18"/>
        </w:rPr>
        <w:lastRenderedPageBreak/>
        <w:t xml:space="preserve">Table 9. </w:t>
      </w:r>
      <w:r>
        <w:rPr>
          <w:sz w:val="18"/>
          <w:szCs w:val="18"/>
        </w:rPr>
        <w:t xml:space="preserve">Platform and integration components, with their descriptions and associated requirements, that manage computation, networking, identity and messaging infrastructure for the Data Director. </w:t>
      </w:r>
    </w:p>
    <w:tbl>
      <w:tblPr>
        <w:tblStyle w:val="a9"/>
        <w:tblW w:w="90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50"/>
        <w:gridCol w:w="6450"/>
      </w:tblGrid>
      <w:tr w:rsidR="00031725" w14:paraId="0A79747F" w14:textId="77777777">
        <w:trPr>
          <w:trHeight w:val="450"/>
        </w:trPr>
        <w:tc>
          <w:tcPr>
            <w:tcW w:w="2550" w:type="dxa"/>
            <w:tcBorders>
              <w:top w:val="single" w:sz="7" w:space="0" w:color="005B52"/>
              <w:left w:val="single" w:sz="7" w:space="0" w:color="005B52"/>
              <w:bottom w:val="single" w:sz="7" w:space="0" w:color="005B52"/>
              <w:right w:val="single" w:sz="7" w:space="0" w:color="005B52"/>
            </w:tcBorders>
            <w:shd w:val="clear" w:color="auto" w:fill="005B52"/>
            <w:tcMar>
              <w:top w:w="100" w:type="dxa"/>
              <w:left w:w="120" w:type="dxa"/>
              <w:bottom w:w="100" w:type="dxa"/>
              <w:right w:w="120" w:type="dxa"/>
            </w:tcMar>
          </w:tcPr>
          <w:p w14:paraId="000003BB" w14:textId="77777777" w:rsidR="00031725" w:rsidRDefault="00000000">
            <w:pPr>
              <w:spacing w:after="0"/>
              <w:rPr>
                <w:b/>
                <w:bCs/>
                <w:color w:val="FFFFFF"/>
                <w:sz w:val="18"/>
                <w:szCs w:val="18"/>
              </w:rPr>
            </w:pPr>
            <w:r>
              <w:rPr>
                <w:b/>
                <w:bCs/>
                <w:color w:val="FFFFFF"/>
                <w:sz w:val="18"/>
                <w:szCs w:val="18"/>
              </w:rPr>
              <w:t>Component</w:t>
            </w:r>
          </w:p>
        </w:tc>
        <w:tc>
          <w:tcPr>
            <w:tcW w:w="6450" w:type="dxa"/>
            <w:tcBorders>
              <w:top w:val="single" w:sz="7" w:space="0" w:color="005B52"/>
              <w:left w:val="single" w:sz="7" w:space="0" w:color="005B52"/>
              <w:bottom w:val="single" w:sz="7" w:space="0" w:color="005B52"/>
              <w:right w:val="single" w:sz="7" w:space="0" w:color="005B52"/>
            </w:tcBorders>
            <w:shd w:val="clear" w:color="auto" w:fill="005B52"/>
            <w:tcMar>
              <w:top w:w="100" w:type="dxa"/>
              <w:left w:w="120" w:type="dxa"/>
              <w:bottom w:w="100" w:type="dxa"/>
              <w:right w:w="120" w:type="dxa"/>
            </w:tcMar>
          </w:tcPr>
          <w:p w14:paraId="000003BC" w14:textId="77777777" w:rsidR="00031725" w:rsidRDefault="00000000">
            <w:pPr>
              <w:spacing w:after="0"/>
              <w:rPr>
                <w:b/>
                <w:bCs/>
                <w:color w:val="FFFFFF"/>
                <w:sz w:val="18"/>
                <w:szCs w:val="18"/>
              </w:rPr>
            </w:pPr>
            <w:r>
              <w:rPr>
                <w:b/>
                <w:bCs/>
                <w:color w:val="FFFFFF"/>
                <w:sz w:val="18"/>
                <w:szCs w:val="18"/>
              </w:rPr>
              <w:t>Description/Requirement</w:t>
            </w:r>
          </w:p>
        </w:tc>
      </w:tr>
      <w:tr w:rsidR="00031725" w14:paraId="7076E6E1" w14:textId="77777777">
        <w:trPr>
          <w:trHeight w:val="1395"/>
        </w:trPr>
        <w:tc>
          <w:tcPr>
            <w:tcW w:w="2550" w:type="dxa"/>
            <w:tcBorders>
              <w:top w:val="single" w:sz="7" w:space="0" w:color="005B52"/>
              <w:left w:val="single" w:sz="7" w:space="0" w:color="005B52"/>
              <w:bottom w:val="single" w:sz="7" w:space="0" w:color="005B52"/>
              <w:right w:val="single" w:sz="7" w:space="0" w:color="005B52"/>
            </w:tcBorders>
            <w:shd w:val="clear" w:color="auto" w:fill="FFFFFF"/>
            <w:tcMar>
              <w:top w:w="80" w:type="dxa"/>
              <w:left w:w="120" w:type="dxa"/>
              <w:bottom w:w="80" w:type="dxa"/>
              <w:right w:w="120" w:type="dxa"/>
            </w:tcMar>
          </w:tcPr>
          <w:p w14:paraId="000003BD" w14:textId="77777777" w:rsidR="00031725" w:rsidRDefault="00000000">
            <w:pPr>
              <w:spacing w:after="0"/>
              <w:rPr>
                <w:b/>
                <w:bCs/>
                <w:sz w:val="18"/>
                <w:szCs w:val="18"/>
              </w:rPr>
            </w:pPr>
            <w:r>
              <w:rPr>
                <w:b/>
                <w:bCs/>
                <w:sz w:val="18"/>
                <w:szCs w:val="18"/>
              </w:rPr>
              <w:t>API Management</w:t>
            </w:r>
          </w:p>
        </w:tc>
        <w:tc>
          <w:tcPr>
            <w:tcW w:w="6450" w:type="dxa"/>
            <w:tcBorders>
              <w:top w:val="single" w:sz="7" w:space="0" w:color="005B52"/>
              <w:left w:val="single" w:sz="7" w:space="0" w:color="005B52"/>
              <w:bottom w:val="single" w:sz="7" w:space="0" w:color="005B52"/>
              <w:right w:val="single" w:sz="7" w:space="0" w:color="005B52"/>
            </w:tcBorders>
            <w:shd w:val="clear" w:color="auto" w:fill="FFFFFF"/>
            <w:tcMar>
              <w:top w:w="80" w:type="dxa"/>
              <w:left w:w="120" w:type="dxa"/>
              <w:bottom w:w="80" w:type="dxa"/>
              <w:right w:w="120" w:type="dxa"/>
            </w:tcMar>
          </w:tcPr>
          <w:p w14:paraId="000003BE" w14:textId="77777777" w:rsidR="00031725" w:rsidRDefault="00000000">
            <w:pPr>
              <w:spacing w:after="0"/>
              <w:rPr>
                <w:sz w:val="18"/>
                <w:szCs w:val="18"/>
              </w:rPr>
            </w:pPr>
            <w:r>
              <w:rPr>
                <w:sz w:val="18"/>
                <w:szCs w:val="18"/>
              </w:rPr>
              <w:t>Integration capability that provides a controlled, secure gateway for exposing, governing, and consuming APIs across internal and external services such as DataCite and Zenodo, etc.. It acts as the front door for all system-to-system communication, ensuring that APIs used by AI agents, workflows, applications, and external consumers are consistent, secure, and properly governed.</w:t>
            </w:r>
          </w:p>
        </w:tc>
      </w:tr>
      <w:tr w:rsidR="00031725" w14:paraId="1C842F2A" w14:textId="77777777">
        <w:trPr>
          <w:trHeight w:val="1395"/>
        </w:trPr>
        <w:tc>
          <w:tcPr>
            <w:tcW w:w="2550" w:type="dxa"/>
            <w:tcBorders>
              <w:top w:val="single" w:sz="7" w:space="0" w:color="005B52"/>
              <w:left w:val="single" w:sz="7" w:space="0" w:color="005B52"/>
              <w:bottom w:val="single" w:sz="7" w:space="0" w:color="005B52"/>
              <w:right w:val="single" w:sz="7" w:space="0" w:color="005B52"/>
            </w:tcBorders>
            <w:shd w:val="clear" w:color="auto" w:fill="EDF7F5"/>
            <w:tcMar>
              <w:top w:w="80" w:type="dxa"/>
              <w:left w:w="120" w:type="dxa"/>
              <w:bottom w:w="80" w:type="dxa"/>
              <w:right w:w="120" w:type="dxa"/>
            </w:tcMar>
          </w:tcPr>
          <w:p w14:paraId="000003BF" w14:textId="77777777" w:rsidR="00031725" w:rsidRDefault="00000000">
            <w:pPr>
              <w:spacing w:after="0"/>
              <w:rPr>
                <w:b/>
                <w:bCs/>
                <w:sz w:val="18"/>
                <w:szCs w:val="18"/>
              </w:rPr>
            </w:pPr>
            <w:r>
              <w:rPr>
                <w:b/>
                <w:bCs/>
                <w:sz w:val="18"/>
                <w:szCs w:val="18"/>
              </w:rPr>
              <w:t>Identity Management</w:t>
            </w:r>
          </w:p>
        </w:tc>
        <w:tc>
          <w:tcPr>
            <w:tcW w:w="6450" w:type="dxa"/>
            <w:tcBorders>
              <w:top w:val="single" w:sz="7" w:space="0" w:color="005B52"/>
              <w:left w:val="single" w:sz="7" w:space="0" w:color="005B52"/>
              <w:bottom w:val="single" w:sz="7" w:space="0" w:color="005B52"/>
              <w:right w:val="single" w:sz="7" w:space="0" w:color="005B52"/>
            </w:tcBorders>
            <w:shd w:val="clear" w:color="auto" w:fill="EDF7F5"/>
            <w:tcMar>
              <w:top w:w="80" w:type="dxa"/>
              <w:left w:w="120" w:type="dxa"/>
              <w:bottom w:w="80" w:type="dxa"/>
              <w:right w:w="120" w:type="dxa"/>
            </w:tcMar>
          </w:tcPr>
          <w:p w14:paraId="000003C0" w14:textId="77777777" w:rsidR="00031725" w:rsidRDefault="00000000">
            <w:pPr>
              <w:spacing w:after="0"/>
              <w:rPr>
                <w:sz w:val="18"/>
                <w:szCs w:val="18"/>
              </w:rPr>
            </w:pPr>
            <w:r>
              <w:rPr>
                <w:sz w:val="18"/>
                <w:szCs w:val="18"/>
              </w:rPr>
              <w:t>Foundational capability which is responsible for establishing, verifying, and governing the identities of users, applications, services, and AI agents, and controlling what they are allowed to access across the system. It acts as the trust and authentication backbone for authentication (confirming that an entity is who it claims to be) and authorisation (determines what an authenticated identity is permitted to do).</w:t>
            </w:r>
          </w:p>
        </w:tc>
      </w:tr>
      <w:tr w:rsidR="00031725" w14:paraId="1612279E" w14:textId="77777777">
        <w:trPr>
          <w:trHeight w:val="1815"/>
        </w:trPr>
        <w:tc>
          <w:tcPr>
            <w:tcW w:w="2550" w:type="dxa"/>
            <w:tcBorders>
              <w:top w:val="single" w:sz="7" w:space="0" w:color="005B52"/>
              <w:left w:val="single" w:sz="7" w:space="0" w:color="005B52"/>
              <w:bottom w:val="single" w:sz="7" w:space="0" w:color="005B52"/>
              <w:right w:val="single" w:sz="7" w:space="0" w:color="005B52"/>
            </w:tcBorders>
            <w:shd w:val="clear" w:color="auto" w:fill="FFFFFF"/>
            <w:tcMar>
              <w:top w:w="80" w:type="dxa"/>
              <w:left w:w="120" w:type="dxa"/>
              <w:bottom w:w="80" w:type="dxa"/>
              <w:right w:w="120" w:type="dxa"/>
            </w:tcMar>
          </w:tcPr>
          <w:p w14:paraId="000003C1" w14:textId="77777777" w:rsidR="00031725" w:rsidRDefault="00000000">
            <w:pPr>
              <w:spacing w:after="0"/>
              <w:rPr>
                <w:b/>
                <w:bCs/>
                <w:sz w:val="18"/>
                <w:szCs w:val="18"/>
              </w:rPr>
            </w:pPr>
            <w:r>
              <w:rPr>
                <w:b/>
                <w:bCs/>
                <w:sz w:val="18"/>
                <w:szCs w:val="18"/>
              </w:rPr>
              <w:t>Security, Incident and Event Management</w:t>
            </w:r>
          </w:p>
        </w:tc>
        <w:tc>
          <w:tcPr>
            <w:tcW w:w="6450" w:type="dxa"/>
            <w:tcBorders>
              <w:top w:val="single" w:sz="7" w:space="0" w:color="005B52"/>
              <w:left w:val="single" w:sz="7" w:space="0" w:color="005B52"/>
              <w:bottom w:val="single" w:sz="7" w:space="0" w:color="005B52"/>
              <w:right w:val="single" w:sz="7" w:space="0" w:color="005B52"/>
            </w:tcBorders>
            <w:shd w:val="clear" w:color="auto" w:fill="FFFFFF"/>
            <w:tcMar>
              <w:top w:w="80" w:type="dxa"/>
              <w:left w:w="120" w:type="dxa"/>
              <w:bottom w:w="80" w:type="dxa"/>
              <w:right w:w="120" w:type="dxa"/>
            </w:tcMar>
          </w:tcPr>
          <w:p w14:paraId="000003C2" w14:textId="77777777" w:rsidR="00031725" w:rsidRDefault="00000000">
            <w:pPr>
              <w:spacing w:after="0"/>
              <w:rPr>
                <w:sz w:val="18"/>
                <w:szCs w:val="18"/>
              </w:rPr>
            </w:pPr>
            <w:r>
              <w:rPr>
                <w:sz w:val="18"/>
                <w:szCs w:val="18"/>
              </w:rPr>
              <w:t>Capability which provides security observability and threat detection layer of an AI-enabled enterprise, providing real-time visibility into suspicious activity, policy violations, and potential security incidents across all system components, including AI agents, model runtimes, APIs, and data services. The service also supports real-time alerting and incident detection, triggering notifications when predefined rules or machine learning models detect anomalies, policy violations, or known attack signatures. These alerts can be routed to security teams, automated response systems, or incident workflows.</w:t>
            </w:r>
          </w:p>
        </w:tc>
      </w:tr>
      <w:tr w:rsidR="00031725" w14:paraId="51868534" w14:textId="77777777">
        <w:trPr>
          <w:trHeight w:val="795"/>
        </w:trPr>
        <w:tc>
          <w:tcPr>
            <w:tcW w:w="2550" w:type="dxa"/>
            <w:tcBorders>
              <w:top w:val="single" w:sz="7" w:space="0" w:color="005B52"/>
              <w:left w:val="single" w:sz="7" w:space="0" w:color="005B52"/>
              <w:bottom w:val="single" w:sz="7" w:space="0" w:color="005B52"/>
              <w:right w:val="single" w:sz="7" w:space="0" w:color="005B52"/>
            </w:tcBorders>
            <w:shd w:val="clear" w:color="auto" w:fill="EDF7F5"/>
            <w:tcMar>
              <w:top w:w="80" w:type="dxa"/>
              <w:left w:w="120" w:type="dxa"/>
              <w:bottom w:w="80" w:type="dxa"/>
              <w:right w:w="120" w:type="dxa"/>
            </w:tcMar>
          </w:tcPr>
          <w:p w14:paraId="000003C3" w14:textId="77777777" w:rsidR="00031725" w:rsidRDefault="00000000">
            <w:pPr>
              <w:spacing w:after="0"/>
              <w:rPr>
                <w:b/>
                <w:bCs/>
                <w:sz w:val="18"/>
                <w:szCs w:val="18"/>
              </w:rPr>
            </w:pPr>
            <w:r>
              <w:rPr>
                <w:b/>
                <w:bCs/>
                <w:sz w:val="18"/>
                <w:szCs w:val="18"/>
              </w:rPr>
              <w:t>Operational Monitoring</w:t>
            </w:r>
          </w:p>
        </w:tc>
        <w:tc>
          <w:tcPr>
            <w:tcW w:w="6450" w:type="dxa"/>
            <w:tcBorders>
              <w:top w:val="single" w:sz="7" w:space="0" w:color="005B52"/>
              <w:left w:val="single" w:sz="7" w:space="0" w:color="005B52"/>
              <w:bottom w:val="single" w:sz="7" w:space="0" w:color="005B52"/>
              <w:right w:val="single" w:sz="7" w:space="0" w:color="005B52"/>
            </w:tcBorders>
            <w:shd w:val="clear" w:color="auto" w:fill="EDF7F5"/>
            <w:tcMar>
              <w:top w:w="80" w:type="dxa"/>
              <w:left w:w="120" w:type="dxa"/>
              <w:bottom w:w="80" w:type="dxa"/>
              <w:right w:w="120" w:type="dxa"/>
            </w:tcMar>
          </w:tcPr>
          <w:p w14:paraId="000003C4" w14:textId="77777777" w:rsidR="00031725" w:rsidRDefault="00000000">
            <w:pPr>
              <w:spacing w:after="0"/>
              <w:rPr>
                <w:sz w:val="18"/>
                <w:szCs w:val="18"/>
              </w:rPr>
            </w:pPr>
            <w:r>
              <w:rPr>
                <w:sz w:val="18"/>
                <w:szCs w:val="18"/>
              </w:rPr>
              <w:t>Provides continuous visibility into the health, performance, availability, and reliability of applications, AI systems, workflows, and underlying infrastructure in real time.</w:t>
            </w:r>
          </w:p>
        </w:tc>
      </w:tr>
      <w:tr w:rsidR="00031725" w14:paraId="30B10D8F" w14:textId="77777777">
        <w:trPr>
          <w:trHeight w:val="1395"/>
        </w:trPr>
        <w:tc>
          <w:tcPr>
            <w:tcW w:w="2550" w:type="dxa"/>
            <w:tcBorders>
              <w:top w:val="single" w:sz="7" w:space="0" w:color="005B52"/>
              <w:left w:val="single" w:sz="7" w:space="0" w:color="005B52"/>
              <w:bottom w:val="single" w:sz="7" w:space="0" w:color="005B52"/>
              <w:right w:val="single" w:sz="7" w:space="0" w:color="005B52"/>
            </w:tcBorders>
            <w:shd w:val="clear" w:color="auto" w:fill="FFFFFF"/>
            <w:tcMar>
              <w:top w:w="80" w:type="dxa"/>
              <w:left w:w="120" w:type="dxa"/>
              <w:bottom w:w="80" w:type="dxa"/>
              <w:right w:w="120" w:type="dxa"/>
            </w:tcMar>
          </w:tcPr>
          <w:p w14:paraId="000003C5" w14:textId="77777777" w:rsidR="00031725" w:rsidRDefault="00000000">
            <w:pPr>
              <w:spacing w:after="0"/>
              <w:rPr>
                <w:b/>
                <w:bCs/>
                <w:sz w:val="18"/>
                <w:szCs w:val="18"/>
              </w:rPr>
            </w:pPr>
            <w:r>
              <w:rPr>
                <w:b/>
                <w:bCs/>
                <w:sz w:val="18"/>
                <w:szCs w:val="18"/>
              </w:rPr>
              <w:t>Secret and Key Management</w:t>
            </w:r>
          </w:p>
        </w:tc>
        <w:tc>
          <w:tcPr>
            <w:tcW w:w="6450" w:type="dxa"/>
            <w:tcBorders>
              <w:top w:val="single" w:sz="7" w:space="0" w:color="005B52"/>
              <w:left w:val="single" w:sz="7" w:space="0" w:color="005B52"/>
              <w:bottom w:val="single" w:sz="7" w:space="0" w:color="005B52"/>
              <w:right w:val="single" w:sz="7" w:space="0" w:color="005B52"/>
            </w:tcBorders>
            <w:shd w:val="clear" w:color="auto" w:fill="FFFFFF"/>
            <w:tcMar>
              <w:top w:w="80" w:type="dxa"/>
              <w:left w:w="120" w:type="dxa"/>
              <w:bottom w:w="80" w:type="dxa"/>
              <w:right w:w="120" w:type="dxa"/>
            </w:tcMar>
          </w:tcPr>
          <w:p w14:paraId="000003C6" w14:textId="77777777" w:rsidR="00031725" w:rsidRDefault="00000000">
            <w:pPr>
              <w:spacing w:after="0"/>
              <w:rPr>
                <w:sz w:val="18"/>
                <w:szCs w:val="18"/>
              </w:rPr>
            </w:pPr>
            <w:r>
              <w:rPr>
                <w:sz w:val="18"/>
                <w:szCs w:val="18"/>
              </w:rPr>
              <w:t>Responsible for securely storing, distributing, rotating, and controlling access to sensitive credentials such as API keys, encryption keys, certificates, passwords. It acts as the cryptographic trust and secret protection layer of an AI platform, ensuring that sensitive information is never exposed in code, configuration files, logs, or AI prompts, and is only accessed in a controlled and auditable way.</w:t>
            </w:r>
          </w:p>
        </w:tc>
      </w:tr>
    </w:tbl>
    <w:p w14:paraId="000003C7" w14:textId="77777777" w:rsidR="00031725" w:rsidRDefault="00000000">
      <w:pPr>
        <w:pStyle w:val="Heading1"/>
        <w:pBdr>
          <w:bottom w:val="single" w:sz="4" w:space="4" w:color="005B52"/>
        </w:pBdr>
      </w:pPr>
      <w:bookmarkStart w:id="45" w:name="_Toc233654414"/>
      <w:r>
        <w:t>10. Evaluation Criteria</w:t>
      </w:r>
      <w:bookmarkEnd w:id="45"/>
    </w:p>
    <w:p w14:paraId="000003C8" w14:textId="7CD24826" w:rsidR="00031725" w:rsidRDefault="00000000">
      <w:r>
        <w:t>This section sets out how the Data Director Blueprint and any implementations of it will be evaluated. At v0.1</w:t>
      </w:r>
      <w:r w:rsidR="00646BD1">
        <w:t>,</w:t>
      </w:r>
      <w:r>
        <w:t xml:space="preserve"> no reference implementation exists; this is a community specification at its first release. The evaluation framework is therefore defined here as a forward-looking commitment rather than an active assessment. It gives implementing organisations a clear target to design </w:t>
      </w:r>
      <w:r w:rsidR="00ED1E3F">
        <w:t>towards and</w:t>
      </w:r>
      <w:r>
        <w:t xml:space="preserve"> gives the community a basis for assessing the Blueprint's impact as adoption grows.</w:t>
      </w:r>
    </w:p>
    <w:p w14:paraId="2388B1C1" w14:textId="77777777" w:rsidR="00ED1E3F" w:rsidRDefault="00ED1E3F"/>
    <w:p w14:paraId="000003C9" w14:textId="77777777" w:rsidR="00031725" w:rsidRDefault="00000000">
      <w:pPr>
        <w:pStyle w:val="Heading2"/>
      </w:pPr>
      <w:bookmarkStart w:id="46" w:name="_Toc233654415"/>
      <w:r>
        <w:lastRenderedPageBreak/>
        <w:t>10.1 Blueprint Quality Criteria</w:t>
      </w:r>
      <w:bookmarkEnd w:id="46"/>
    </w:p>
    <w:p w14:paraId="000003CA" w14:textId="77777777" w:rsidR="00031725" w:rsidRDefault="00000000">
      <w:r>
        <w:t>Quality criteria describe what a well-functioning implementation of the Data Director should demonstrate. The nine thematic areas below group the Blueprint's functional requirements (R), non-functional requirements (C), and architecture principles (P), reflecting the main dimensions across which an implementation can be assessed. Each area identifies what can be measured now and what cannot yet be measured.</w:t>
      </w:r>
    </w:p>
    <w:p w14:paraId="000003CB" w14:textId="77777777" w:rsidR="00031725" w:rsidRDefault="00000000">
      <w:r>
        <w:t xml:space="preserve"> Within each thematic area, criteria are distinguished by what the agent should do: its specific behaviours and outputs, and what the agent should be: its qualities and characteristics such as explainability, security, and accessibility.</w:t>
      </w:r>
    </w:p>
    <w:tbl>
      <w:tblPr>
        <w:tblStyle w:val="aa"/>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031725" w14:paraId="1361EF7C" w14:textId="77777777">
        <w:tc>
          <w:tcPr>
            <w:tcW w:w="9360" w:type="dxa"/>
            <w:tcBorders>
              <w:top w:val="nil"/>
              <w:left w:val="single" w:sz="16" w:space="0" w:color="007A6E"/>
              <w:bottom w:val="nil"/>
              <w:right w:val="nil"/>
            </w:tcBorders>
            <w:shd w:val="clear" w:color="auto" w:fill="EDF7F5"/>
            <w:tcMar>
              <w:top w:w="100" w:type="dxa"/>
              <w:left w:w="180" w:type="dxa"/>
              <w:bottom w:w="100" w:type="dxa"/>
              <w:right w:w="180" w:type="dxa"/>
            </w:tcMar>
          </w:tcPr>
          <w:p w14:paraId="000003CC" w14:textId="77777777" w:rsidR="00031725" w:rsidRDefault="00000000">
            <w:pPr>
              <w:spacing w:after="0" w:line="240" w:lineRule="auto"/>
              <w:rPr>
                <w:i/>
                <w:iCs/>
              </w:rPr>
            </w:pPr>
            <w:r>
              <w:rPr>
                <w:i/>
                <w:iCs/>
              </w:rPr>
              <w:t xml:space="preserve">Within each area, items listed as </w:t>
            </w:r>
            <w:r>
              <w:rPr>
                <w:b/>
                <w:bCs/>
                <w:i/>
                <w:iCs/>
              </w:rPr>
              <w:t>Cannot yet be measured</w:t>
            </w:r>
            <w:r>
              <w:rPr>
                <w:i/>
                <w:iCs/>
              </w:rPr>
              <w:t xml:space="preserve"> are tagged to indicate the nature of the gap. </w:t>
            </w:r>
            <w:r>
              <w:rPr>
                <w:b/>
                <w:bCs/>
                <w:i/>
                <w:iCs/>
                <w:color w:val="0000FF"/>
              </w:rPr>
              <w:t>[Agent/system development needed]</w:t>
            </w:r>
            <w:r>
              <w:rPr>
                <w:i/>
                <w:iCs/>
              </w:rPr>
              <w:t xml:space="preserve"> indicates that the gap requires further development of the agent, tooling, methodology, or community-agreed benchmarks. </w:t>
            </w:r>
            <w:r>
              <w:rPr>
                <w:b/>
                <w:bCs/>
                <w:i/>
                <w:iCs/>
                <w:color w:val="FF0000"/>
              </w:rPr>
              <w:t>[Human/user input needed]</w:t>
            </w:r>
            <w:r>
              <w:rPr>
                <w:b/>
                <w:bCs/>
                <w:i/>
                <w:iCs/>
              </w:rPr>
              <w:t xml:space="preserve"> </w:t>
            </w:r>
            <w:r>
              <w:rPr>
                <w:i/>
                <w:iCs/>
              </w:rPr>
              <w:t>indicates that the gap can only be closed through human judgement, structured user research, longitudinal adoption evidence, or direct involvement of community stakeholders</w:t>
            </w:r>
          </w:p>
        </w:tc>
      </w:tr>
    </w:tbl>
    <w:p w14:paraId="000003CD" w14:textId="77777777" w:rsidR="00031725" w:rsidRDefault="00000000">
      <w:pPr>
        <w:spacing w:before="200" w:after="80"/>
        <w:rPr>
          <w:i/>
          <w:iCs/>
          <w:color w:val="555555"/>
          <w:sz w:val="18"/>
          <w:szCs w:val="18"/>
        </w:rPr>
      </w:pPr>
      <w:r>
        <w:rPr>
          <w:b/>
          <w:bCs/>
          <w:color w:val="005B52"/>
        </w:rPr>
        <w:t>1.  Metadata and documentation quality   |   R2 · R3 · R4 · R5 · R7 · C15</w:t>
      </w:r>
    </w:p>
    <w:p w14:paraId="000003CE" w14:textId="07F301FD" w:rsidR="00031725" w:rsidRDefault="00000000">
      <w:r>
        <w:t xml:space="preserve">A core output of the Data Director is high-quality metadata and supporting documentation. Two important caveats frame evaluation in this area. First, schema compliance alone is insufficient: values may be syntactically correct against a schema while being semantically wrong. Second, in domains where no controlled vocabulary, ontology, or prior FAIR practice exists, the tool's outputs will be generic, and the tool should explicitly flag this rather than presenting generic outputs as </w:t>
      </w:r>
      <w:r w:rsidR="00ED1E3F">
        <w:t>domain appropriate</w:t>
      </w:r>
      <w:r>
        <w:t>.</w:t>
      </w:r>
    </w:p>
    <w:p w14:paraId="000003CF" w14:textId="77777777" w:rsidR="00031725" w:rsidRDefault="00000000">
      <w:pPr>
        <w:rPr>
          <w:b/>
          <w:bCs/>
        </w:rPr>
      </w:pPr>
      <w:r>
        <w:rPr>
          <w:b/>
          <w:bCs/>
        </w:rPr>
        <w:t>Can be measured now:</w:t>
      </w:r>
    </w:p>
    <w:p w14:paraId="000003D0" w14:textId="77777777" w:rsidR="00031725" w:rsidRDefault="00000000">
      <w:pPr>
        <w:numPr>
          <w:ilvl w:val="0"/>
          <w:numId w:val="38"/>
        </w:numPr>
        <w:spacing w:after="0"/>
      </w:pPr>
      <w:r>
        <w:rPr>
          <w:b/>
          <w:bCs/>
        </w:rPr>
        <w:t xml:space="preserve">R2: </w:t>
      </w:r>
      <w:r>
        <w:t>Ontology term coverage is measurable: the proportion of terms present in a draft metadata record against a specific vocabulary can be counted. Coverage should be interpreted alongside term appropriateness, as precise metadata may legitimately use only a small number of terms from a large vocabulary.</w:t>
      </w:r>
    </w:p>
    <w:p w14:paraId="000003D1" w14:textId="0755B334" w:rsidR="00031725" w:rsidRDefault="00000000">
      <w:pPr>
        <w:numPr>
          <w:ilvl w:val="0"/>
          <w:numId w:val="38"/>
        </w:numPr>
        <w:spacing w:after="0"/>
      </w:pPr>
      <w:r>
        <w:rPr>
          <w:b/>
          <w:bCs/>
        </w:rPr>
        <w:t>R3:</w:t>
      </w:r>
      <w:r>
        <w:t xml:space="preserve"> Vocabulary and ontology use verifiable against the FAIRsharing registry. For example, the MOMSI </w:t>
      </w:r>
      <w:r w:rsidR="00646BD1">
        <w:t xml:space="preserve">(Multi-Omics Metadata Standards Integration) </w:t>
      </w:r>
      <w:r>
        <w:t>FAIRsharing collection is confirmed useful as a cross-domain benchmarking reference.</w:t>
      </w:r>
    </w:p>
    <w:p w14:paraId="000003D2" w14:textId="77777777" w:rsidR="00031725" w:rsidRDefault="00000000">
      <w:pPr>
        <w:numPr>
          <w:ilvl w:val="0"/>
          <w:numId w:val="38"/>
        </w:numPr>
        <w:spacing w:after="0"/>
      </w:pPr>
      <w:r>
        <w:rPr>
          <w:b/>
          <w:bCs/>
        </w:rPr>
        <w:t>R4:</w:t>
      </w:r>
      <w:r>
        <w:t xml:space="preserve"> If a given schema is adopted to describe data or metadata, the description must be valid against the chosen schema. Validation against common schemas including DataCite, Dublin Core, and discipline-specific standards should be testable through automated checking.</w:t>
      </w:r>
    </w:p>
    <w:p w14:paraId="000003D3" w14:textId="77777777" w:rsidR="00031725" w:rsidRDefault="00000000">
      <w:pPr>
        <w:numPr>
          <w:ilvl w:val="0"/>
          <w:numId w:val="38"/>
        </w:numPr>
      </w:pPr>
      <w:r>
        <w:rPr>
          <w:b/>
          <w:bCs/>
        </w:rPr>
        <w:t xml:space="preserve">R7: </w:t>
      </w:r>
      <w:r>
        <w:t>PID assignment workflow testable end-to-end against repository capabilities.</w:t>
      </w:r>
    </w:p>
    <w:p w14:paraId="000003D4" w14:textId="77777777" w:rsidR="00031725" w:rsidRDefault="00000000">
      <w:pPr>
        <w:rPr>
          <w:b/>
          <w:bCs/>
        </w:rPr>
      </w:pPr>
      <w:r>
        <w:rPr>
          <w:b/>
          <w:bCs/>
        </w:rPr>
        <w:t>Cannot yet be measured:</w:t>
      </w:r>
    </w:p>
    <w:p w14:paraId="000003D5" w14:textId="77777777" w:rsidR="00031725" w:rsidRDefault="00000000">
      <w:pPr>
        <w:numPr>
          <w:ilvl w:val="0"/>
          <w:numId w:val="14"/>
        </w:numPr>
        <w:spacing w:after="0"/>
      </w:pPr>
      <w:r>
        <w:rPr>
          <w:b/>
          <w:bCs/>
          <w:color w:val="0000FF"/>
        </w:rPr>
        <w:t xml:space="preserve">[Agent/system development needed] </w:t>
      </w:r>
      <w:r>
        <w:rPr>
          <w:b/>
          <w:bCs/>
        </w:rPr>
        <w:t xml:space="preserve">C15: </w:t>
      </w:r>
      <w:r>
        <w:t>No community-agreed benchmark exists for evaluating whether AI-generated metadata meets an acceptable curation standard.</w:t>
      </w:r>
    </w:p>
    <w:p w14:paraId="000003D6" w14:textId="77777777" w:rsidR="00031725" w:rsidRDefault="00000000">
      <w:pPr>
        <w:numPr>
          <w:ilvl w:val="0"/>
          <w:numId w:val="14"/>
        </w:numPr>
        <w:spacing w:after="0"/>
      </w:pPr>
      <w:r>
        <w:rPr>
          <w:b/>
          <w:bCs/>
          <w:color w:val="FF0000"/>
        </w:rPr>
        <w:lastRenderedPageBreak/>
        <w:t>[Human/user input needed]</w:t>
      </w:r>
      <w:r>
        <w:t xml:space="preserve"> </w:t>
      </w:r>
      <w:r>
        <w:rPr>
          <w:b/>
          <w:bCs/>
        </w:rPr>
        <w:t xml:space="preserve">R5: </w:t>
      </w:r>
      <w:r>
        <w:t>Whether data documentation is genuinely sufficient for data reuse by a third party requires human judgement and cannot be assessed automatically.</w:t>
      </w:r>
    </w:p>
    <w:p w14:paraId="000003D7" w14:textId="77777777" w:rsidR="00031725" w:rsidRDefault="00000000">
      <w:pPr>
        <w:numPr>
          <w:ilvl w:val="0"/>
          <w:numId w:val="14"/>
        </w:numPr>
        <w:spacing w:after="0"/>
      </w:pPr>
      <w:r>
        <w:rPr>
          <w:b/>
          <w:bCs/>
          <w:color w:val="0000FF"/>
        </w:rPr>
        <w:t xml:space="preserve">[Agent/system development needed] </w:t>
      </w:r>
      <w:r>
        <w:t>Semantic correctness of metadata values: schema compliance does not confirm that values are meaningful in context, as demonstrated by the RDA Sample Type Working Group and RDA PIDINST Working Group, both of which identified difficulties aligning domain-specific concepts with DataCite.</w:t>
      </w:r>
    </w:p>
    <w:p w14:paraId="000003D8" w14:textId="77777777" w:rsidR="00031725" w:rsidRDefault="00000000">
      <w:pPr>
        <w:numPr>
          <w:ilvl w:val="0"/>
          <w:numId w:val="14"/>
        </w:numPr>
      </w:pPr>
      <w:r>
        <w:rPr>
          <w:b/>
          <w:bCs/>
          <w:color w:val="0000FF"/>
        </w:rPr>
        <w:t xml:space="preserve">[Agent/system development needed] </w:t>
      </w:r>
      <w:r>
        <w:t>Standardised benchmarking datasets for cross-implementation comparison do not yet exist. Specifying such datasets, potentially covering Dublin Core plus a core set of key disciplinary metadata standards, would allow different Data Director implementations to be evaluated against each other over time.</w:t>
      </w:r>
    </w:p>
    <w:p w14:paraId="000003D9" w14:textId="77777777" w:rsidR="00031725" w:rsidRDefault="00000000">
      <w:pPr>
        <w:spacing w:before="200" w:after="80"/>
        <w:rPr>
          <w:b/>
          <w:bCs/>
          <w:color w:val="005B52"/>
        </w:rPr>
      </w:pPr>
      <w:r>
        <w:rPr>
          <w:b/>
          <w:bCs/>
          <w:color w:val="005B52"/>
        </w:rPr>
        <w:t>2.  FAIR and CARE principle alignment   |   P1 · R9 · R11 · C15</w:t>
      </w:r>
    </w:p>
    <w:p w14:paraId="000003DA" w14:textId="77777777" w:rsidR="00031725" w:rsidRDefault="00000000">
      <w:r>
        <w:t>This area assesses whether the Data Director actively advances FAIR principles across all capabilities, appropriately applies CARE principles where relevant, retrofits metadata for already-published datasets, and links data to the broader research record. FAIR maturity can be assessed using existing community tools. No equivalent methodology currently exists for CARE. Where multiple FAIR evaluation tools produce differing scores, the tool should support users in selecting the most appropriate evaluation approach for their context rather than presenting all available scores simultaneously.</w:t>
      </w:r>
    </w:p>
    <w:p w14:paraId="000003DB" w14:textId="77777777" w:rsidR="00031725" w:rsidRDefault="00000000">
      <w:pPr>
        <w:rPr>
          <w:b/>
          <w:bCs/>
        </w:rPr>
      </w:pPr>
      <w:r>
        <w:rPr>
          <w:b/>
          <w:bCs/>
        </w:rPr>
        <w:t>Can be measured now:</w:t>
      </w:r>
    </w:p>
    <w:p w14:paraId="000003DC" w14:textId="77777777" w:rsidR="00031725" w:rsidRDefault="00000000">
      <w:pPr>
        <w:numPr>
          <w:ilvl w:val="0"/>
          <w:numId w:val="39"/>
        </w:numPr>
        <w:spacing w:after="0"/>
      </w:pPr>
      <w:r>
        <w:rPr>
          <w:b/>
          <w:bCs/>
        </w:rPr>
        <w:t>P1:</w:t>
      </w:r>
      <w:r>
        <w:t xml:space="preserve"> FAIR maturity scores assessable using community-recognised tools and comparable before and after implementation.</w:t>
      </w:r>
    </w:p>
    <w:p w14:paraId="000003DD" w14:textId="77777777" w:rsidR="00031725" w:rsidRDefault="00000000">
      <w:pPr>
        <w:numPr>
          <w:ilvl w:val="0"/>
          <w:numId w:val="39"/>
        </w:numPr>
      </w:pPr>
      <w:r>
        <w:rPr>
          <w:b/>
          <w:bCs/>
        </w:rPr>
        <w:t xml:space="preserve">R11: </w:t>
      </w:r>
      <w:r>
        <w:t>Dataset linking to publications, grants, software, and people via ORCID and ROR verifiable through automated testing.</w:t>
      </w:r>
    </w:p>
    <w:p w14:paraId="000003DE" w14:textId="77777777" w:rsidR="00031725" w:rsidRDefault="00000000">
      <w:pPr>
        <w:rPr>
          <w:b/>
          <w:bCs/>
        </w:rPr>
      </w:pPr>
      <w:r>
        <w:rPr>
          <w:b/>
          <w:bCs/>
        </w:rPr>
        <w:t xml:space="preserve"> Cannot yet be measured:</w:t>
      </w:r>
    </w:p>
    <w:p w14:paraId="000003DF" w14:textId="77777777" w:rsidR="00031725" w:rsidRDefault="00000000">
      <w:pPr>
        <w:numPr>
          <w:ilvl w:val="0"/>
          <w:numId w:val="28"/>
        </w:numPr>
        <w:spacing w:after="0"/>
      </w:pPr>
      <w:r>
        <w:rPr>
          <w:b/>
          <w:bCs/>
          <w:color w:val="FF0000"/>
        </w:rPr>
        <w:t>[Human/user input needed]</w:t>
      </w:r>
      <w:r>
        <w:t xml:space="preserve"> </w:t>
      </w:r>
      <w:r>
        <w:rPr>
          <w:b/>
          <w:bCs/>
        </w:rPr>
        <w:t xml:space="preserve">P1 (CARE Principles): </w:t>
      </w:r>
      <w:r>
        <w:t>No agreed evaluation methodology exists. Assessment requires direct involvement of Indigenous and community stakeholders and cannot be conducted through a checklist. CARE implementations are context-dependent and will require more than one profile.</w:t>
      </w:r>
    </w:p>
    <w:p w14:paraId="000003E0" w14:textId="77777777" w:rsidR="00031725" w:rsidRDefault="00000000">
      <w:pPr>
        <w:numPr>
          <w:ilvl w:val="0"/>
          <w:numId w:val="28"/>
        </w:numPr>
      </w:pPr>
      <w:r>
        <w:rPr>
          <w:b/>
          <w:bCs/>
          <w:color w:val="0000FF"/>
        </w:rPr>
        <w:t xml:space="preserve">[Agent/system development needed] </w:t>
      </w:r>
      <w:r>
        <w:rPr>
          <w:b/>
          <w:bCs/>
        </w:rPr>
        <w:t>C15:</w:t>
      </w:r>
      <w:r>
        <w:t xml:space="preserve"> No community-agreed benchmark exists for comparing AI-generated records against manually curated equivalents. </w:t>
      </w:r>
    </w:p>
    <w:p w14:paraId="000003E1" w14:textId="77777777" w:rsidR="00031725" w:rsidRDefault="00000000">
      <w:pPr>
        <w:spacing w:before="200" w:after="80"/>
        <w:rPr>
          <w:b/>
          <w:bCs/>
          <w:color w:val="005B52"/>
        </w:rPr>
      </w:pPr>
      <w:r>
        <w:rPr>
          <w:b/>
          <w:bCs/>
          <w:color w:val="005B52"/>
        </w:rPr>
        <w:t>3.  Interoperability and open standards   |   R6 · C5 · P2 · P6 · P7</w:t>
      </w:r>
    </w:p>
    <w:p w14:paraId="000003E2" w14:textId="77777777" w:rsidR="00031725" w:rsidRDefault="00000000">
      <w:r>
        <w:t>This area assesses whether the Data Director operates using open, community-maintained standards, exposes interoperable APIs across instances, and defaults to open sharing. All criteria in this area are technically testable at deployment.</w:t>
      </w:r>
    </w:p>
    <w:p w14:paraId="61DA3637" w14:textId="77777777" w:rsidR="00ED1E3F" w:rsidRDefault="00ED1E3F">
      <w:pPr>
        <w:rPr>
          <w:b/>
          <w:bCs/>
        </w:rPr>
      </w:pPr>
    </w:p>
    <w:p w14:paraId="4FA23AB9" w14:textId="77777777" w:rsidR="00ED1E3F" w:rsidRDefault="00ED1E3F">
      <w:pPr>
        <w:rPr>
          <w:b/>
          <w:bCs/>
        </w:rPr>
      </w:pPr>
    </w:p>
    <w:p w14:paraId="000003E3" w14:textId="0B5ED1C5" w:rsidR="00031725" w:rsidRDefault="00000000">
      <w:pPr>
        <w:rPr>
          <w:b/>
          <w:bCs/>
        </w:rPr>
      </w:pPr>
      <w:r>
        <w:rPr>
          <w:b/>
          <w:bCs/>
        </w:rPr>
        <w:lastRenderedPageBreak/>
        <w:t>Can be measured now:</w:t>
      </w:r>
    </w:p>
    <w:p w14:paraId="000003E4" w14:textId="0C5B8B90" w:rsidR="00031725" w:rsidRDefault="00000000">
      <w:pPr>
        <w:numPr>
          <w:ilvl w:val="0"/>
          <w:numId w:val="26"/>
        </w:numPr>
        <w:spacing w:after="0"/>
      </w:pPr>
      <w:r>
        <w:rPr>
          <w:b/>
          <w:bCs/>
        </w:rPr>
        <w:t>R6 and C5:</w:t>
      </w:r>
      <w:r>
        <w:t xml:space="preserve"> Metadata exchange across two or more Data Director instances without bespoke integration is testable; API conformance against a published specification is verifiable. </w:t>
      </w:r>
      <w:r w:rsidR="00F87830">
        <w:t>The tool's ability to map metadata across multiple schemas, enabling deposit of the same dataset to different repositories without manual remapping by the researcher, is also testable.</w:t>
      </w:r>
    </w:p>
    <w:p w14:paraId="000003E5" w14:textId="77777777" w:rsidR="00031725" w:rsidRDefault="00000000">
      <w:pPr>
        <w:numPr>
          <w:ilvl w:val="0"/>
          <w:numId w:val="26"/>
        </w:numPr>
        <w:spacing w:after="0"/>
      </w:pPr>
      <w:r>
        <w:rPr>
          <w:b/>
          <w:bCs/>
        </w:rPr>
        <w:t>P6:</w:t>
      </w:r>
      <w:r>
        <w:t xml:space="preserve"> All standards and dependencies in use are auditable against the open standards requirement. </w:t>
      </w:r>
    </w:p>
    <w:p w14:paraId="000003E6" w14:textId="77777777" w:rsidR="00031725" w:rsidRDefault="00000000">
      <w:pPr>
        <w:numPr>
          <w:ilvl w:val="0"/>
          <w:numId w:val="26"/>
        </w:numPr>
        <w:spacing w:after="0"/>
      </w:pPr>
      <w:r>
        <w:rPr>
          <w:b/>
          <w:bCs/>
        </w:rPr>
        <w:t xml:space="preserve">P7: </w:t>
      </w:r>
      <w:r>
        <w:t>A licence audit confirms the agent source code is publicly available under MIT or Apache 2.0.</w:t>
      </w:r>
    </w:p>
    <w:p w14:paraId="000003E7" w14:textId="77777777" w:rsidR="00031725" w:rsidRDefault="00000000">
      <w:pPr>
        <w:numPr>
          <w:ilvl w:val="0"/>
          <w:numId w:val="26"/>
        </w:numPr>
      </w:pPr>
      <w:r>
        <w:rPr>
          <w:b/>
          <w:bCs/>
        </w:rPr>
        <w:t>P2:</w:t>
      </w:r>
      <w:r>
        <w:t xml:space="preserve"> A configuration audit confirms default sharing is open and any restrictions are accompanied by a documented legal basis.</w:t>
      </w:r>
    </w:p>
    <w:p w14:paraId="000003E8" w14:textId="77777777" w:rsidR="00031725" w:rsidRDefault="00000000">
      <w:pPr>
        <w:spacing w:before="200" w:after="80"/>
        <w:rPr>
          <w:b/>
          <w:bCs/>
          <w:color w:val="005B52"/>
        </w:rPr>
      </w:pPr>
      <w:r>
        <w:rPr>
          <w:b/>
          <w:bCs/>
          <w:color w:val="005B52"/>
        </w:rPr>
        <w:t>4.  Governance, provenance, and human oversight   |   R8 · R10 · C3 · C12 · C13 · P4 · P5</w:t>
      </w:r>
    </w:p>
    <w:p w14:paraId="000003E9" w14:textId="77777777" w:rsidR="00031725" w:rsidRDefault="00000000">
      <w:r>
        <w:t>This area covers the traceability of agent actions, the enforceability of human oversight, and compliance with data governance and AI governance frameworks. Technical verification is possible for most criteria. Whether human oversight is genuinely meaningful in practice cannot be assessed technically and requires structured user research with researchers and data support professionals.</w:t>
      </w:r>
    </w:p>
    <w:p w14:paraId="000003EA" w14:textId="77777777" w:rsidR="00031725" w:rsidRDefault="00000000">
      <w:pPr>
        <w:rPr>
          <w:b/>
          <w:bCs/>
        </w:rPr>
      </w:pPr>
      <w:r>
        <w:rPr>
          <w:b/>
          <w:bCs/>
        </w:rPr>
        <w:t>Can be measured now:</w:t>
      </w:r>
    </w:p>
    <w:p w14:paraId="000003EB" w14:textId="77777777" w:rsidR="00031725" w:rsidRDefault="00000000">
      <w:pPr>
        <w:numPr>
          <w:ilvl w:val="0"/>
          <w:numId w:val="16"/>
        </w:numPr>
        <w:spacing w:after="0"/>
      </w:pPr>
      <w:r>
        <w:rPr>
          <w:b/>
          <w:bCs/>
        </w:rPr>
        <w:t xml:space="preserve">R10 and P5: </w:t>
      </w:r>
      <w:r>
        <w:t>Provenance logging, audit trail completeness, and use of PROV-O verifiable through automated testing and independent audit.</w:t>
      </w:r>
    </w:p>
    <w:p w14:paraId="000003EC" w14:textId="77777777" w:rsidR="00031725" w:rsidRDefault="00000000">
      <w:pPr>
        <w:numPr>
          <w:ilvl w:val="0"/>
          <w:numId w:val="16"/>
        </w:numPr>
        <w:spacing w:after="0"/>
      </w:pPr>
      <w:r>
        <w:rPr>
          <w:b/>
          <w:bCs/>
        </w:rPr>
        <w:t xml:space="preserve">R8: </w:t>
      </w:r>
      <w:r>
        <w:t>DMP alignment verification at the point of data publication testable against machine-readable DMP outputs from compatible tools (DSW, Argos, DAMAP).</w:t>
      </w:r>
    </w:p>
    <w:p w14:paraId="000003ED" w14:textId="77777777" w:rsidR="00031725" w:rsidRDefault="00000000">
      <w:pPr>
        <w:numPr>
          <w:ilvl w:val="0"/>
          <w:numId w:val="16"/>
        </w:numPr>
        <w:spacing w:after="0"/>
      </w:pPr>
      <w:r>
        <w:rPr>
          <w:b/>
          <w:bCs/>
        </w:rPr>
        <w:t>P4:</w:t>
      </w:r>
      <w:r>
        <w:t xml:space="preserve"> Technical presence of human approval controls and blocking of irreversible actions testable.</w:t>
      </w:r>
    </w:p>
    <w:p w14:paraId="000003EE" w14:textId="77777777" w:rsidR="00031725" w:rsidRDefault="00000000">
      <w:pPr>
        <w:numPr>
          <w:ilvl w:val="0"/>
          <w:numId w:val="16"/>
        </w:numPr>
      </w:pPr>
      <w:r>
        <w:rPr>
          <w:b/>
          <w:bCs/>
        </w:rPr>
        <w:t>C12:</w:t>
      </w:r>
      <w:r>
        <w:t xml:space="preserve"> Enforceability of machine-readable governance policies verifiable through independent audit.</w:t>
      </w:r>
    </w:p>
    <w:p w14:paraId="000003EF" w14:textId="77777777" w:rsidR="00031725" w:rsidRDefault="00000000">
      <w:pPr>
        <w:rPr>
          <w:b/>
          <w:bCs/>
        </w:rPr>
      </w:pPr>
      <w:r>
        <w:rPr>
          <w:b/>
          <w:bCs/>
        </w:rPr>
        <w:t>Cannot yet be measured:</w:t>
      </w:r>
    </w:p>
    <w:p w14:paraId="000003F0" w14:textId="77777777" w:rsidR="00031725" w:rsidRDefault="00000000">
      <w:pPr>
        <w:numPr>
          <w:ilvl w:val="0"/>
          <w:numId w:val="20"/>
        </w:numPr>
        <w:spacing w:after="0"/>
      </w:pPr>
      <w:r>
        <w:rPr>
          <w:b/>
          <w:bCs/>
          <w:color w:val="FF0000"/>
        </w:rPr>
        <w:t xml:space="preserve">[Human/user input needed] </w:t>
      </w:r>
      <w:r>
        <w:rPr>
          <w:b/>
          <w:bCs/>
        </w:rPr>
        <w:t xml:space="preserve">P4: </w:t>
      </w:r>
      <w:r>
        <w:t>Whether human oversight is genuinely meaningful in practice requires structured user research.</w:t>
      </w:r>
    </w:p>
    <w:p w14:paraId="000003F1" w14:textId="77777777" w:rsidR="00031725" w:rsidRDefault="00000000">
      <w:pPr>
        <w:numPr>
          <w:ilvl w:val="0"/>
          <w:numId w:val="20"/>
        </w:numPr>
      </w:pPr>
      <w:r>
        <w:rPr>
          <w:b/>
          <w:bCs/>
          <w:color w:val="0000FF"/>
        </w:rPr>
        <w:t xml:space="preserve">[Agent/system development needed] </w:t>
      </w:r>
      <w:r>
        <w:rPr>
          <w:b/>
          <w:bCs/>
        </w:rPr>
        <w:t xml:space="preserve">C13: </w:t>
      </w:r>
      <w:r>
        <w:t>Compliance coverage depends on which AI governance framework is adopted and varies by jurisdiction; full compliance cannot be assessed against a single universal standard.</w:t>
      </w:r>
    </w:p>
    <w:p w14:paraId="000003F2" w14:textId="77777777" w:rsidR="00031725" w:rsidRDefault="00000000">
      <w:pPr>
        <w:spacing w:before="200" w:after="80"/>
        <w:rPr>
          <w:b/>
          <w:bCs/>
          <w:color w:val="005B52"/>
        </w:rPr>
      </w:pPr>
      <w:r>
        <w:rPr>
          <w:b/>
          <w:bCs/>
          <w:color w:val="005B52"/>
        </w:rPr>
        <w:t>5.  Security, privacy, and sovereignty   |   C1 · C2 · C4 · P3 · P10</w:t>
      </w:r>
    </w:p>
    <w:p w14:paraId="000003F3" w14:textId="77777777" w:rsidR="00031725" w:rsidRDefault="00000000">
      <w:r>
        <w:t>This area assesses whether security is built into the tool from the outset, whether privacy risks are detected and flagged rather than resolved autonomously, and whether data sovereignty requirements are respected across jurisdictions. All criteria are technically testable at deployment. Ongoing monitoring is additionally required beyond initial testing.</w:t>
      </w:r>
    </w:p>
    <w:p w14:paraId="3AA8E077" w14:textId="77777777" w:rsidR="00072FB8" w:rsidRDefault="00072FB8">
      <w:pPr>
        <w:rPr>
          <w:b/>
          <w:bCs/>
        </w:rPr>
      </w:pPr>
    </w:p>
    <w:p w14:paraId="000003F4" w14:textId="1F271DA4" w:rsidR="00031725" w:rsidRDefault="00000000">
      <w:pPr>
        <w:rPr>
          <w:b/>
          <w:bCs/>
        </w:rPr>
      </w:pPr>
      <w:r>
        <w:rPr>
          <w:b/>
          <w:bCs/>
        </w:rPr>
        <w:lastRenderedPageBreak/>
        <w:t>Can be measured now:</w:t>
      </w:r>
    </w:p>
    <w:p w14:paraId="000003F5" w14:textId="77777777" w:rsidR="00031725" w:rsidRDefault="00000000">
      <w:pPr>
        <w:numPr>
          <w:ilvl w:val="0"/>
          <w:numId w:val="5"/>
        </w:numPr>
        <w:spacing w:after="0"/>
      </w:pPr>
      <w:r>
        <w:rPr>
          <w:b/>
          <w:bCs/>
        </w:rPr>
        <w:t xml:space="preserve">C1 and P3: </w:t>
      </w:r>
      <w:r>
        <w:t>Penetration testing against a recognised framework such as NIST; encryption and role-based access control audit; audit log completeness verifiable.</w:t>
      </w:r>
    </w:p>
    <w:p w14:paraId="000003F6" w14:textId="77777777" w:rsidR="00031725" w:rsidRDefault="00000000">
      <w:pPr>
        <w:numPr>
          <w:ilvl w:val="0"/>
          <w:numId w:val="5"/>
        </w:numPr>
        <w:spacing w:after="0"/>
      </w:pPr>
      <w:r>
        <w:rPr>
          <w:b/>
          <w:bCs/>
        </w:rPr>
        <w:t>C2:</w:t>
      </w:r>
      <w:r>
        <w:t xml:space="preserve"> Whether the tool correctly detects potential personal identifiers in data and metadata is testable. Whether the sharing workflow pauses and alerts the human reviewer upon detection is testable. </w:t>
      </w:r>
    </w:p>
    <w:p w14:paraId="000003F7" w14:textId="77777777" w:rsidR="00031725" w:rsidRDefault="00000000">
      <w:pPr>
        <w:numPr>
          <w:ilvl w:val="0"/>
          <w:numId w:val="5"/>
        </w:numPr>
      </w:pPr>
      <w:r>
        <w:rPr>
          <w:b/>
          <w:bCs/>
        </w:rPr>
        <w:t>C4 and P10:</w:t>
      </w:r>
      <w:r>
        <w:t xml:space="preserve"> Data residency enforcement across configured jurisdictions testable; local and edge deployment options verifiable.</w:t>
      </w:r>
    </w:p>
    <w:p w14:paraId="000003F8" w14:textId="77777777" w:rsidR="00031725" w:rsidRDefault="00000000">
      <w:pPr>
        <w:rPr>
          <w:b/>
          <w:bCs/>
        </w:rPr>
      </w:pPr>
      <w:r>
        <w:rPr>
          <w:b/>
          <w:bCs/>
        </w:rPr>
        <w:t xml:space="preserve"> Cannot yet be measured:</w:t>
      </w:r>
    </w:p>
    <w:p w14:paraId="000003F9" w14:textId="77777777" w:rsidR="00031725" w:rsidRDefault="00000000">
      <w:pPr>
        <w:numPr>
          <w:ilvl w:val="0"/>
          <w:numId w:val="15"/>
        </w:numPr>
      </w:pPr>
      <w:r>
        <w:rPr>
          <w:b/>
          <w:bCs/>
          <w:color w:val="0000FF"/>
        </w:rPr>
        <w:t xml:space="preserve">[Agent/system development needed] </w:t>
      </w:r>
      <w:r>
        <w:t>Ongoing monitoring is required to assess robustness against the tool being manipulated or redirected into taking actions outside its unintended scope. No single methodology currently covers this scenario comprehensively at the point of deployment.</w:t>
      </w:r>
    </w:p>
    <w:p w14:paraId="000003FA" w14:textId="77777777" w:rsidR="00031725" w:rsidRDefault="00000000">
      <w:pPr>
        <w:spacing w:before="200" w:after="80"/>
        <w:rPr>
          <w:b/>
          <w:bCs/>
          <w:color w:val="005B52"/>
        </w:rPr>
      </w:pPr>
      <w:r>
        <w:rPr>
          <w:b/>
          <w:bCs/>
          <w:color w:val="005B52"/>
        </w:rPr>
        <w:t>6.  Explainability   |   C14 · P8</w:t>
      </w:r>
    </w:p>
    <w:p w14:paraId="000003FB" w14:textId="77777777" w:rsidR="00031725" w:rsidRDefault="00000000">
      <w:r>
        <w:t>This area assesses whether all AI-generated outputs are accompanied by human-readable explanations, whether explanations are genuinely understandable to non-technical users, and whether a log of agent thought processes is maintained for transparency and audit.</w:t>
      </w:r>
    </w:p>
    <w:p w14:paraId="000003FC" w14:textId="77777777" w:rsidR="00031725" w:rsidRDefault="00000000">
      <w:pPr>
        <w:rPr>
          <w:b/>
          <w:bCs/>
        </w:rPr>
      </w:pPr>
      <w:r>
        <w:rPr>
          <w:b/>
          <w:bCs/>
        </w:rPr>
        <w:t>Can be measured now:</w:t>
      </w:r>
    </w:p>
    <w:p w14:paraId="000003FD" w14:textId="77777777" w:rsidR="00031725" w:rsidRDefault="00000000">
      <w:pPr>
        <w:numPr>
          <w:ilvl w:val="0"/>
          <w:numId w:val="11"/>
        </w:numPr>
        <w:spacing w:after="0"/>
      </w:pPr>
      <w:r>
        <w:rPr>
          <w:b/>
          <w:bCs/>
        </w:rPr>
        <w:t xml:space="preserve">C14 and P8: </w:t>
      </w:r>
      <w:r>
        <w:t>Presence of explanations alongside every AI output verifiable through automated testing.</w:t>
      </w:r>
    </w:p>
    <w:p w14:paraId="000003FE" w14:textId="77777777" w:rsidR="00031725" w:rsidRDefault="00000000">
      <w:pPr>
        <w:numPr>
          <w:ilvl w:val="0"/>
          <w:numId w:val="11"/>
        </w:numPr>
        <w:spacing w:after="0"/>
      </w:pPr>
      <w:r>
        <w:rPr>
          <w:b/>
          <w:bCs/>
        </w:rPr>
        <w:t>C14:</w:t>
      </w:r>
      <w:r>
        <w:t xml:space="preserve"> Role governance of override rights testable against defined user roles.</w:t>
      </w:r>
    </w:p>
    <w:p w14:paraId="000003FF" w14:textId="77777777" w:rsidR="00031725" w:rsidRDefault="00000000">
      <w:pPr>
        <w:numPr>
          <w:ilvl w:val="0"/>
          <w:numId w:val="11"/>
        </w:numPr>
      </w:pPr>
      <w:r>
        <w:rPr>
          <w:b/>
          <w:bCs/>
        </w:rPr>
        <w:t>P8:</w:t>
      </w:r>
      <w:r>
        <w:t xml:space="preserve"> Presence and completeness of thought process logs verifiable at deployment.</w:t>
      </w:r>
    </w:p>
    <w:p w14:paraId="00000400" w14:textId="77777777" w:rsidR="00031725" w:rsidRDefault="00000000">
      <w:pPr>
        <w:rPr>
          <w:b/>
          <w:bCs/>
        </w:rPr>
      </w:pPr>
      <w:r>
        <w:rPr>
          <w:b/>
          <w:bCs/>
        </w:rPr>
        <w:t>Cannot yet be measured:</w:t>
      </w:r>
    </w:p>
    <w:p w14:paraId="00000401" w14:textId="77777777" w:rsidR="00031725" w:rsidRDefault="00000000">
      <w:pPr>
        <w:numPr>
          <w:ilvl w:val="0"/>
          <w:numId w:val="30"/>
        </w:numPr>
      </w:pPr>
      <w:r>
        <w:rPr>
          <w:b/>
          <w:bCs/>
        </w:rPr>
        <w:t>C14:</w:t>
      </w:r>
      <w:r>
        <w:t xml:space="preserve"> Whether explanations are genuinely understandable to researchers, data support professionals, and non-technical users across different disciplines requires structured user research.</w:t>
      </w:r>
    </w:p>
    <w:p w14:paraId="00000402" w14:textId="77777777" w:rsidR="00031725" w:rsidRDefault="00000000">
      <w:pPr>
        <w:spacing w:before="200" w:after="80"/>
        <w:rPr>
          <w:b/>
          <w:bCs/>
          <w:color w:val="005B52"/>
        </w:rPr>
      </w:pPr>
      <w:r>
        <w:rPr>
          <w:b/>
          <w:bCs/>
          <w:color w:val="005B52"/>
        </w:rPr>
        <w:t>7.  Accessibility and inclusive access   |   C6 · P12</w:t>
      </w:r>
    </w:p>
    <w:p w14:paraId="00000403" w14:textId="77777777" w:rsidR="00031725" w:rsidRDefault="00000000">
      <w:r>
        <w:t>This area assesses whether the Data Director meets accessibility standards across all interfaces and is genuinely designed to include rather than exclude researchers across communities, institution sizes, and levels of data expertise.</w:t>
      </w:r>
    </w:p>
    <w:p w14:paraId="00000404" w14:textId="77777777" w:rsidR="00031725" w:rsidRDefault="00000000">
      <w:pPr>
        <w:rPr>
          <w:b/>
          <w:bCs/>
        </w:rPr>
      </w:pPr>
      <w:r>
        <w:rPr>
          <w:b/>
          <w:bCs/>
        </w:rPr>
        <w:t>Can be measured now:</w:t>
      </w:r>
    </w:p>
    <w:p w14:paraId="00000405" w14:textId="5F236370" w:rsidR="00031725" w:rsidRDefault="00000000">
      <w:pPr>
        <w:numPr>
          <w:ilvl w:val="0"/>
          <w:numId w:val="22"/>
        </w:numPr>
      </w:pPr>
      <w:r>
        <w:rPr>
          <w:b/>
          <w:bCs/>
        </w:rPr>
        <w:t>C6:</w:t>
      </w:r>
      <w:r>
        <w:t xml:space="preserve"> WCAG 2.1 compliance </w:t>
      </w:r>
      <w:r w:rsidR="00ED1E3F">
        <w:t xml:space="preserve">is </w:t>
      </w:r>
      <w:r>
        <w:t>independently auditable at deployment using recognised testing tools and assistive technology testing.</w:t>
      </w:r>
    </w:p>
    <w:p w14:paraId="00000406" w14:textId="77777777" w:rsidR="00031725" w:rsidRDefault="00000000">
      <w:pPr>
        <w:rPr>
          <w:b/>
          <w:bCs/>
        </w:rPr>
      </w:pPr>
      <w:r>
        <w:rPr>
          <w:b/>
          <w:bCs/>
        </w:rPr>
        <w:t>Cannot yet be measured:</w:t>
      </w:r>
    </w:p>
    <w:p w14:paraId="00000407" w14:textId="77777777" w:rsidR="00031725" w:rsidRDefault="00000000">
      <w:pPr>
        <w:numPr>
          <w:ilvl w:val="0"/>
          <w:numId w:val="37"/>
        </w:numPr>
      </w:pPr>
      <w:r>
        <w:rPr>
          <w:b/>
          <w:bCs/>
          <w:color w:val="FF0000"/>
        </w:rPr>
        <w:t xml:space="preserve">[Human/user input needed] </w:t>
      </w:r>
      <w:r>
        <w:rPr>
          <w:b/>
          <w:bCs/>
        </w:rPr>
        <w:t xml:space="preserve">P12: </w:t>
      </w:r>
      <w:r>
        <w:t>Whether the tool is genuinely inclusive across communities, institution sizes, and disciplines requires longitudinal evidence of adoption patterns and impact that does not exist at v0.1.</w:t>
      </w:r>
    </w:p>
    <w:p w14:paraId="00000408" w14:textId="77777777" w:rsidR="00031725" w:rsidRDefault="00000000">
      <w:pPr>
        <w:spacing w:before="200" w:after="80"/>
        <w:rPr>
          <w:b/>
          <w:bCs/>
          <w:color w:val="005B52"/>
        </w:rPr>
      </w:pPr>
      <w:r>
        <w:rPr>
          <w:b/>
          <w:bCs/>
          <w:color w:val="005B52"/>
        </w:rPr>
        <w:lastRenderedPageBreak/>
        <w:t>8.  Operational performance   |   C7 · C8 · C9 · C10 · C11 · P11</w:t>
      </w:r>
    </w:p>
    <w:p w14:paraId="00000409" w14:textId="77777777" w:rsidR="00031725" w:rsidRDefault="00000000">
      <w:r>
        <w:t>This area assesses whether the Data Director meets reliability, availability, performance, and scalability requirements across deployment contexts. Most criteria are testable now. The 99.5% uptime target (C7) applies to the user-facing front end; internal components may have differential SLAs.</w:t>
      </w:r>
    </w:p>
    <w:p w14:paraId="0000040A" w14:textId="77777777" w:rsidR="00031725" w:rsidRDefault="00000000">
      <w:pPr>
        <w:rPr>
          <w:b/>
          <w:bCs/>
        </w:rPr>
      </w:pPr>
      <w:r>
        <w:rPr>
          <w:b/>
          <w:bCs/>
        </w:rPr>
        <w:t>Can be measured now:</w:t>
      </w:r>
    </w:p>
    <w:p w14:paraId="0000040B" w14:textId="77777777" w:rsidR="00031725" w:rsidRDefault="00000000">
      <w:r>
        <w:t>Uptime against the 99.5% target (</w:t>
      </w:r>
      <w:r>
        <w:rPr>
          <w:b/>
          <w:bCs/>
        </w:rPr>
        <w:t>C7</w:t>
      </w:r>
      <w:r>
        <w:t>), recovery from component failures without data loss (</w:t>
      </w:r>
      <w:r>
        <w:rPr>
          <w:b/>
          <w:bCs/>
        </w:rPr>
        <w:t>C8</w:t>
      </w:r>
      <w:r>
        <w:t>), 24/7 availability across time zones (</w:t>
      </w:r>
      <w:r>
        <w:rPr>
          <w:b/>
          <w:bCs/>
        </w:rPr>
        <w:t>C9</w:t>
      </w:r>
      <w:r>
        <w:t>), response time benchmarking and asynchronous processing (</w:t>
      </w:r>
      <w:r>
        <w:rPr>
          <w:b/>
          <w:bCs/>
        </w:rPr>
        <w:t>C10</w:t>
      </w:r>
      <w:r>
        <w:t>), load testing with growing volumes and concurrent users (</w:t>
      </w:r>
      <w:r>
        <w:rPr>
          <w:b/>
          <w:bCs/>
        </w:rPr>
        <w:t>C11</w:t>
      </w:r>
      <w:r>
        <w:t>), and deployment testing across edge, local, and cloud environments (</w:t>
      </w:r>
      <w:r>
        <w:rPr>
          <w:b/>
          <w:bCs/>
        </w:rPr>
        <w:t>P11</w:t>
      </w:r>
      <w:r>
        <w:t>) are all testable through standard infrastructure and performance testing at deployment.</w:t>
      </w:r>
    </w:p>
    <w:p w14:paraId="0000040C" w14:textId="77777777" w:rsidR="00031725" w:rsidRDefault="00000000">
      <w:r>
        <w:t>These metrics apply to service-based deployments. Where the Data Director is deployed as a local or on-demand tool on personal or institutional hardware, infrastructure metrics such as uptime targets and concurrent user load testing may not be applicable. Implementers should assess which metrics are relevant to their deployment model and document any that are out of scope with justification.</w:t>
      </w:r>
    </w:p>
    <w:p w14:paraId="0000040D" w14:textId="77777777" w:rsidR="00031725" w:rsidRDefault="00000000">
      <w:pPr>
        <w:rPr>
          <w:b/>
          <w:bCs/>
        </w:rPr>
      </w:pPr>
      <w:r>
        <w:rPr>
          <w:b/>
          <w:bCs/>
        </w:rPr>
        <w:t xml:space="preserve"> Cannot yet be measured:</w:t>
      </w:r>
    </w:p>
    <w:p w14:paraId="0000040E" w14:textId="77777777" w:rsidR="00031725" w:rsidRDefault="00000000">
      <w:pPr>
        <w:numPr>
          <w:ilvl w:val="0"/>
          <w:numId w:val="10"/>
        </w:numPr>
      </w:pPr>
      <w:r>
        <w:rPr>
          <w:b/>
          <w:bCs/>
          <w:color w:val="0000FF"/>
        </w:rPr>
        <w:t xml:space="preserve">[Agent/system development needed] </w:t>
      </w:r>
      <w:r>
        <w:rPr>
          <w:b/>
          <w:bCs/>
        </w:rPr>
        <w:t xml:space="preserve">C7: </w:t>
      </w:r>
      <w:r>
        <w:t>Implementing organisations must calibrate reliability targets to their deployment context. The 99.5% uptime target may not be realistic for locally hosted or resource-constrained deployments, such as those with limited computing power, IT support, or funding.</w:t>
      </w:r>
    </w:p>
    <w:p w14:paraId="0000040F" w14:textId="77777777" w:rsidR="00031725" w:rsidRDefault="00000000">
      <w:pPr>
        <w:spacing w:before="200" w:after="80"/>
        <w:rPr>
          <w:b/>
          <w:bCs/>
          <w:color w:val="005B52"/>
        </w:rPr>
      </w:pPr>
      <w:r>
        <w:rPr>
          <w:b/>
          <w:bCs/>
          <w:color w:val="005B52"/>
        </w:rPr>
        <w:t>9.  Impact, sustainability, and evaluation infrastructure   |   C16 · C17 · P9 · P13 · P14</w:t>
      </w:r>
    </w:p>
    <w:p w14:paraId="00000410" w14:textId="77777777" w:rsidR="00031725" w:rsidRDefault="00000000">
      <w:r>
        <w:t xml:space="preserve">This area covers two distinct dimensions that must not be conflated: the impact of the tool's outputs on researcher productivity and data quality, and the impact of the tool's own operation on the environment. Both must be monitored; neither yet has an agreed measurement methodology at v0.1. </w:t>
      </w:r>
      <w:sdt>
        <w:sdtPr>
          <w:tag w:val="goog_rdk_2"/>
          <w:id w:val="2121255003"/>
        </w:sdtPr>
        <w:sdtContent>
          <w:commentRangeStart w:id="47"/>
        </w:sdtContent>
      </w:sdt>
      <w:r>
        <w:t>Affordability (C17) is identified as a future evaluation consideration in Section 10.3.</w:t>
      </w:r>
      <w:commentRangeEnd w:id="47"/>
      <w:r w:rsidR="00BF756E">
        <w:rPr>
          <w:rStyle w:val="CommentReference"/>
          <w:sz w:val="22"/>
          <w:szCs w:val="22"/>
        </w:rPr>
        <w:commentReference w:id="47"/>
      </w:r>
    </w:p>
    <w:p w14:paraId="00000411" w14:textId="77777777" w:rsidR="00031725" w:rsidRDefault="00000000">
      <w:r>
        <w:t>This area also covers the monitoring, logging, and feedback infrastructure needed to support ongoing evaluation of the tool's own performance and impact. Most mechanisms are technically verifiable at deployment.</w:t>
      </w:r>
    </w:p>
    <w:p w14:paraId="00000412" w14:textId="77777777" w:rsidR="00031725" w:rsidRDefault="00000000">
      <w:pPr>
        <w:rPr>
          <w:b/>
          <w:bCs/>
        </w:rPr>
      </w:pPr>
      <w:r>
        <w:rPr>
          <w:b/>
          <w:bCs/>
        </w:rPr>
        <w:t xml:space="preserve">Can be measured now: </w:t>
      </w:r>
    </w:p>
    <w:p w14:paraId="00000413" w14:textId="77777777" w:rsidR="00031725" w:rsidRDefault="00000000">
      <w:pPr>
        <w:numPr>
          <w:ilvl w:val="0"/>
          <w:numId w:val="36"/>
        </w:numPr>
        <w:spacing w:after="0"/>
      </w:pPr>
      <w:r>
        <w:rPr>
          <w:b/>
          <w:bCs/>
        </w:rPr>
        <w:t xml:space="preserve">C16: </w:t>
      </w:r>
      <w:r>
        <w:t>Usage data collection and reporting verifiable at deployment. Monitoring dashboards, alert mechanisms, and feedback collection mechanisms all verifiable at deployment.</w:t>
      </w:r>
    </w:p>
    <w:p w14:paraId="00000414" w14:textId="77777777" w:rsidR="00031725" w:rsidRDefault="00000000">
      <w:pPr>
        <w:numPr>
          <w:ilvl w:val="0"/>
          <w:numId w:val="36"/>
        </w:numPr>
        <w:spacing w:after="0"/>
      </w:pPr>
      <w:r>
        <w:rPr>
          <w:b/>
          <w:bCs/>
        </w:rPr>
        <w:t xml:space="preserve">C17: </w:t>
      </w:r>
      <w:r>
        <w:t>Configuration options for resource-constrained environments testable; AI processing cost architecture reviewable.</w:t>
      </w:r>
    </w:p>
    <w:p w14:paraId="00000415" w14:textId="77777777" w:rsidR="00031725" w:rsidRDefault="00000000">
      <w:pPr>
        <w:numPr>
          <w:ilvl w:val="0"/>
          <w:numId w:val="36"/>
        </w:numPr>
        <w:spacing w:after="0"/>
      </w:pPr>
      <w:r>
        <w:rPr>
          <w:b/>
          <w:bCs/>
        </w:rPr>
        <w:t xml:space="preserve">P9: </w:t>
      </w:r>
      <w:r>
        <w:t>Local configuration points for schemas, repository preferences, and access controls testable.</w:t>
      </w:r>
    </w:p>
    <w:p w14:paraId="00000416" w14:textId="77777777" w:rsidR="00031725" w:rsidRDefault="00000000">
      <w:pPr>
        <w:numPr>
          <w:ilvl w:val="0"/>
          <w:numId w:val="36"/>
        </w:numPr>
      </w:pPr>
      <w:r>
        <w:rPr>
          <w:b/>
          <w:bCs/>
        </w:rPr>
        <w:lastRenderedPageBreak/>
        <w:t xml:space="preserve">P13: </w:t>
      </w:r>
      <w:r>
        <w:t>Dependency viability assessable through review of licences, maintenance status, and community support. Testable by verifying that when dependencies are unavailable, unaffected workflow steps continue to function, the user is alerted, and work can be saved and resumed without data loss.</w:t>
      </w:r>
    </w:p>
    <w:p w14:paraId="00000417" w14:textId="77777777" w:rsidR="00031725" w:rsidRDefault="00000000">
      <w:pPr>
        <w:rPr>
          <w:b/>
          <w:bCs/>
        </w:rPr>
      </w:pPr>
      <w:r>
        <w:rPr>
          <w:b/>
          <w:bCs/>
        </w:rPr>
        <w:t>Cannot yet be measured:</w:t>
      </w:r>
    </w:p>
    <w:p w14:paraId="00000418" w14:textId="77777777" w:rsidR="00031725" w:rsidRDefault="00000000">
      <w:pPr>
        <w:numPr>
          <w:ilvl w:val="0"/>
          <w:numId w:val="3"/>
        </w:numPr>
        <w:spacing w:after="0"/>
      </w:pPr>
      <w:r>
        <w:rPr>
          <w:b/>
          <w:bCs/>
          <w:color w:val="FF0000"/>
        </w:rPr>
        <w:t xml:space="preserve">[Human/user input needed] </w:t>
      </w:r>
      <w:r>
        <w:rPr>
          <w:b/>
          <w:bCs/>
        </w:rPr>
        <w:t xml:space="preserve">C16: </w:t>
      </w:r>
      <w:r>
        <w:t>Whether usage data demonstrates genuine researcher impact requires longitudinal evidence. Automated quality scoring requires community-agreed thresholds that do not yet exist. User signal mechanisms require active researcher adoption before generating useful data.</w:t>
      </w:r>
    </w:p>
    <w:p w14:paraId="00000419" w14:textId="77777777" w:rsidR="00031725" w:rsidRDefault="00000000">
      <w:pPr>
        <w:numPr>
          <w:ilvl w:val="0"/>
          <w:numId w:val="3"/>
        </w:numPr>
        <w:spacing w:after="0"/>
      </w:pPr>
      <w:r>
        <w:rPr>
          <w:b/>
          <w:bCs/>
          <w:color w:val="0000FF"/>
        </w:rPr>
        <w:t xml:space="preserve">[Agent/system development needed] </w:t>
      </w:r>
      <w:r>
        <w:rPr>
          <w:b/>
          <w:bCs/>
        </w:rPr>
        <w:t>C17:</w:t>
      </w:r>
      <w:r>
        <w:t xml:space="preserve"> No agreed methodology exists for assessing affordability across different institutional contexts and deployment models.</w:t>
      </w:r>
    </w:p>
    <w:p w14:paraId="0000041A" w14:textId="77777777" w:rsidR="00031725" w:rsidRDefault="00000000">
      <w:pPr>
        <w:numPr>
          <w:ilvl w:val="0"/>
          <w:numId w:val="3"/>
        </w:numPr>
      </w:pPr>
      <w:r>
        <w:rPr>
          <w:b/>
          <w:bCs/>
          <w:color w:val="0000FF"/>
        </w:rPr>
        <w:t xml:space="preserve">[Agent/system development needed] </w:t>
      </w:r>
      <w:r>
        <w:rPr>
          <w:b/>
          <w:bCs/>
        </w:rPr>
        <w:t xml:space="preserve">P14: </w:t>
      </w:r>
      <w:r>
        <w:t>No agreed methodology exists for assessing environmental footprint across deployment models. Edge deployment is harder to monitor for environmental impact than centralised infrastructure, where active tracking tools can be deployed and usage and inference costs can be more reliably measured.</w:t>
      </w:r>
    </w:p>
    <w:p w14:paraId="0000041B" w14:textId="2E58D7AD" w:rsidR="00031725" w:rsidRDefault="00000000">
      <w:pPr>
        <w:pStyle w:val="Heading2"/>
      </w:pPr>
      <w:bookmarkStart w:id="48" w:name="_Toc233654416"/>
      <w:r>
        <w:t>10.2 Evaluation Process</w:t>
      </w:r>
      <w:bookmarkEnd w:id="48"/>
      <w:r>
        <w:t xml:space="preserve"> </w:t>
      </w:r>
    </w:p>
    <w:p w14:paraId="0000041C" w14:textId="14B13868" w:rsidR="00031725" w:rsidRDefault="00000000">
      <w:r>
        <w:t xml:space="preserve">At v0.1, evaluation of any implementation is self-assessed by the implementing organisation against the quality criteria set out in section 10.1. Implementing organisations are encouraged to document which criteria they have addressed, record any limitations or gaps against the measurability ratings above, and share that evidence openly with the community in line with the Blueprint's Open First and </w:t>
      </w:r>
      <w:r w:rsidR="005265AF">
        <w:t>Open-Source</w:t>
      </w:r>
      <w:r>
        <w:t xml:space="preserve"> principles.</w:t>
      </w:r>
    </w:p>
    <w:p w14:paraId="0000041D" w14:textId="77777777" w:rsidR="00031725" w:rsidRDefault="00000000">
      <w:r>
        <w:t>A formal evaluation process, including community review, independent verification, and a structured conformance framework, could be developed as a priority output of the v0.2 process, informed by feedback from early adopters during and after the 30-day community review period. Until that framework exists, the MUST designations in the functional specification (Section 7.1) define the minimum that any implementation claiming alignment with this Blueprint must satisfy.</w:t>
      </w:r>
    </w:p>
    <w:p w14:paraId="0000041E" w14:textId="77777777" w:rsidR="00031725" w:rsidRDefault="00000000">
      <w:pPr>
        <w:pStyle w:val="Heading2"/>
      </w:pPr>
      <w:bookmarkStart w:id="49" w:name="_Toc233654417"/>
      <w:r>
        <w:t>10.3 Future Evaluation Considerations</w:t>
      </w:r>
      <w:bookmarkEnd w:id="49"/>
      <w:r>
        <w:t xml:space="preserve"> </w:t>
      </w:r>
    </w:p>
    <w:p w14:paraId="0000041F" w14:textId="77777777" w:rsidR="00031725" w:rsidRDefault="00000000">
      <w:bookmarkStart w:id="50" w:name="OLE_LINK1"/>
      <w:r>
        <w:t xml:space="preserve">Five areas of evaluation methodology remain underdeveloped in this version of the Blueprint. Each is identified for further development; </w:t>
      </w:r>
      <w:sdt>
        <w:sdtPr>
          <w:tag w:val="goog_rdk_3"/>
          <w:id w:val="-943270939"/>
        </w:sdtPr>
        <w:sdtContent>
          <w:commentRangeStart w:id="51"/>
        </w:sdtContent>
      </w:sdt>
      <w:r>
        <w:t>several are carried forward explicitly in Section 13.2 (Roadmap for Future Iterations).</w:t>
      </w:r>
      <w:commentRangeEnd w:id="51"/>
      <w:r w:rsidR="00BF756E">
        <w:rPr>
          <w:rStyle w:val="CommentReference"/>
          <w:sz w:val="22"/>
          <w:szCs w:val="22"/>
        </w:rPr>
        <w:commentReference w:id="51"/>
      </w:r>
    </w:p>
    <w:bookmarkEnd w:id="50"/>
    <w:p w14:paraId="00000420" w14:textId="77777777" w:rsidR="00031725" w:rsidRDefault="00000000">
      <w:pPr>
        <w:rPr>
          <w:b/>
          <w:bCs/>
        </w:rPr>
      </w:pPr>
      <w:r>
        <w:rPr>
          <w:b/>
          <w:bCs/>
        </w:rPr>
        <w:t>Community-agreed metadata quality benchmarks</w:t>
      </w:r>
    </w:p>
    <w:p w14:paraId="00000421" w14:textId="77777777" w:rsidR="00031725" w:rsidRDefault="00000000">
      <w:r>
        <w:t xml:space="preserve">The Blueprint requires AI-generated metadata to meet community curation standards (C15, R4), but no agreed threshold currently exists against which outputs can be assessed. Evaluation must extend beyond schema compliance to encompass semantic correctness: whether metadata values are accurate and meaningful in context. This is domain-specific and cannot be validated by machines alone. The Working Group has proposed a tiered quality </w:t>
      </w:r>
      <w:r>
        <w:lastRenderedPageBreak/>
        <w:t xml:space="preserve">framework (gold, silver, bronze) as a direction for development in v0.2. Developing shared benchmarks will require structured collaboration across disciplinary communities, including through emerging frameworks such as </w:t>
      </w:r>
      <w:hyperlink r:id="rId87">
        <w:r w:rsidR="00031725">
          <w:rPr>
            <w:color w:val="1155CC"/>
            <w:u w:val="single"/>
          </w:rPr>
          <w:t>Assess-IF</w:t>
        </w:r>
      </w:hyperlink>
      <w:r>
        <w:t xml:space="preserve"> and existing mechanisms such as FAIRsharing community collections and </w:t>
      </w:r>
      <w:hyperlink r:id="rId88">
        <w:r w:rsidR="00031725">
          <w:rPr>
            <w:color w:val="1155CC"/>
            <w:u w:val="single"/>
          </w:rPr>
          <w:t>FAIR Implementation Profiles (FIPs)</w:t>
        </w:r>
      </w:hyperlink>
      <w:r>
        <w:t>.</w:t>
      </w:r>
      <w:r>
        <w:rPr>
          <w:vertAlign w:val="superscript"/>
        </w:rPr>
        <w:footnoteReference w:id="60"/>
      </w:r>
    </w:p>
    <w:p w14:paraId="00000422" w14:textId="77777777" w:rsidR="00031725" w:rsidRDefault="00000000">
      <w:pPr>
        <w:rPr>
          <w:b/>
          <w:bCs/>
        </w:rPr>
      </w:pPr>
      <w:r>
        <w:rPr>
          <w:b/>
          <w:bCs/>
        </w:rPr>
        <w:t>CARE evaluation methodology</w:t>
      </w:r>
    </w:p>
    <w:p w14:paraId="00000423" w14:textId="77777777" w:rsidR="00031725" w:rsidRDefault="00000000">
      <w:r>
        <w:t>Existing community-recognised tools support FAIR maturity assessment. No equivalent approach for evaluating CARE principle application in practice currently exists, and assessment cannot be conducted through a checklist. It requires direct involvement of Indigenous and community stakeholders and must account for significant variation in CARE interpretation across communities and domains. As a minimum, the tool should identify when CARE principles are likely to apply and direct users to appropriate guidance; full assessment methodology remains a future development.</w:t>
      </w:r>
    </w:p>
    <w:p w14:paraId="00000424" w14:textId="77777777" w:rsidR="00031725" w:rsidRDefault="00000000">
      <w:pPr>
        <w:rPr>
          <w:b/>
          <w:bCs/>
        </w:rPr>
      </w:pPr>
      <w:r>
        <w:rPr>
          <w:b/>
          <w:bCs/>
        </w:rPr>
        <w:t>Longitudinal impact measurement framework</w:t>
      </w:r>
    </w:p>
    <w:p w14:paraId="00000425" w14:textId="25254547" w:rsidR="00031725" w:rsidRDefault="00000000">
      <w:r>
        <w:t xml:space="preserve">Whether the Data Director achieves equitable, sustained improvement in data publication practice cannot be determined at deployment (C16). A framework for measuring researcher uptake, equity of access, and the quality of data publication over time needs to be defined and agreed </w:t>
      </w:r>
      <w:r w:rsidR="00A12E37">
        <w:t xml:space="preserve">upon </w:t>
      </w:r>
      <w:r>
        <w:t>with the community. Standardised output formats, such as those produced by Assess-IF, can support longitudinal analyses once such a framework is in place.</w:t>
      </w:r>
    </w:p>
    <w:p w14:paraId="00000426" w14:textId="77777777" w:rsidR="00031725" w:rsidRDefault="00000000">
      <w:pPr>
        <w:rPr>
          <w:b/>
          <w:bCs/>
        </w:rPr>
      </w:pPr>
      <w:r>
        <w:rPr>
          <w:b/>
          <w:bCs/>
        </w:rPr>
        <w:t>Affordability and environmental impact assessment</w:t>
      </w:r>
    </w:p>
    <w:p w14:paraId="00000427" w14:textId="21DF8CFC" w:rsidR="00031725" w:rsidRDefault="00000000">
      <w:r>
        <w:t>The Blueprint requires the tool to be affordable across institutional contexts (C17) and to minimise its environmental footprint (P14</w:t>
      </w:r>
      <w:r w:rsidR="00A12E37">
        <w:t>), but</w:t>
      </w:r>
      <w:r>
        <w:t xml:space="preserve"> specifies no measurement approach for either. No agreed methodology exists for assessing affordability across deployment contexts, and environmental monitoring is harder for edge deployments than for centralised infrastructure. </w:t>
      </w:r>
    </w:p>
    <w:p w14:paraId="00000428" w14:textId="77777777" w:rsidR="00031725" w:rsidRDefault="00000000">
      <w:pPr>
        <w:rPr>
          <w:b/>
          <w:bCs/>
        </w:rPr>
      </w:pPr>
      <w:r>
        <w:rPr>
          <w:b/>
          <w:bCs/>
        </w:rPr>
        <w:t>Formal conformance framework</w:t>
      </w:r>
    </w:p>
    <w:p w14:paraId="00000429" w14:textId="77777777" w:rsidR="00031725" w:rsidRDefault="00000000">
      <w:r>
        <w:t>Conformance at v0.1 is defined by satisfying the MUST requirements in the functional specification and is self-declared by implementing organisations. A community-governed conformance framework, including defined tiers, a peer review process, and an independent verification mechanism, could be developed as a priority output of the v0.2 process and piloted with early adopter implementations, replacing the current arrangement in which implementing organisations self-assess against the criteria without independent verification</w:t>
      </w:r>
    </w:p>
    <w:p w14:paraId="0000042A" w14:textId="77777777" w:rsidR="00031725" w:rsidRDefault="00000000">
      <w:pPr>
        <w:pStyle w:val="Heading1"/>
        <w:pBdr>
          <w:bottom w:val="single" w:sz="4" w:space="4" w:color="005B52"/>
        </w:pBdr>
      </w:pPr>
      <w:bookmarkStart w:id="52" w:name="_Toc233654418"/>
      <w:r>
        <w:t>11. Implementation Guidance</w:t>
      </w:r>
      <w:bookmarkEnd w:id="52"/>
    </w:p>
    <w:p w14:paraId="0000042B" w14:textId="77777777" w:rsidR="00031725" w:rsidRDefault="00000000">
      <w:r>
        <w:t xml:space="preserve">This section sets out practical starting points for organisations implementing the Data Director, drawn from reflections contributed by working group participants for each of the three implementer types identified in Section 2.2: research institutions, national research infrastructures, and commercial or non-profit vendors. </w:t>
      </w:r>
    </w:p>
    <w:p w14:paraId="0000042C" w14:textId="77777777" w:rsidR="00031725" w:rsidRDefault="00000000">
      <w:r>
        <w:lastRenderedPageBreak/>
        <w:t>Some practicalities apply across all three implementer profiles, for example, considerations around cost transparency, interoperability, and conformance, while others are specific to a particular profile's role, resourcing, and relationship to the Blueprint. Where a consideration is genuinely cross-cutting, this is noted; otherwise, each subsection addresses the practicalities specific to that profile.</w:t>
      </w:r>
    </w:p>
    <w:p w14:paraId="0000042D" w14:textId="192EDBE0" w:rsidR="00031725" w:rsidRDefault="00000000">
      <w:pPr>
        <w:pStyle w:val="Heading2"/>
        <w:spacing w:before="220" w:after="100"/>
      </w:pPr>
      <w:bookmarkStart w:id="53" w:name="_Toc233654419"/>
      <w:r>
        <w:t>11.1 Cross-cutting Practicalities</w:t>
      </w:r>
      <w:bookmarkEnd w:id="53"/>
      <w:r>
        <w:t xml:space="preserve"> </w:t>
      </w:r>
    </w:p>
    <w:p w14:paraId="0000042E" w14:textId="77777777" w:rsidR="00031725" w:rsidRDefault="00000000">
      <w:r>
        <w:t xml:space="preserve">The following practicalities were raised by more than one implementer profile and apply regardless of which profile an organisation belongs to. </w:t>
      </w:r>
    </w:p>
    <w:p w14:paraId="0000042F" w14:textId="77777777" w:rsidR="00031725" w:rsidRDefault="00000000">
      <w:pPr>
        <w:rPr>
          <w:b/>
          <w:bCs/>
        </w:rPr>
      </w:pPr>
      <w:r>
        <w:rPr>
          <w:b/>
          <w:bCs/>
        </w:rPr>
        <w:t>Practical starting points:</w:t>
      </w:r>
    </w:p>
    <w:p w14:paraId="00000430" w14:textId="77777777" w:rsidR="00031725" w:rsidRDefault="00000000">
      <w:pPr>
        <w:numPr>
          <w:ilvl w:val="0"/>
          <w:numId w:val="8"/>
        </w:numPr>
        <w:spacing w:after="0"/>
      </w:pPr>
      <w:r>
        <w:t>Find out what information about the tool's safety and security would be needed to satisfy a security team's assessment, including how data leakage is prevented.</w:t>
      </w:r>
    </w:p>
    <w:p w14:paraId="00000431" w14:textId="77777777" w:rsidR="00031725" w:rsidRDefault="00000000">
      <w:pPr>
        <w:numPr>
          <w:ilvl w:val="0"/>
          <w:numId w:val="8"/>
        </w:numPr>
        <w:spacing w:after="0"/>
      </w:pPr>
      <w:r>
        <w:t>Establish how costs, including AI processing or token costs, would be estimated and how these would be passed on or absorbed (relevant whether estimating institutional running costs, infrastructure-wide sustainability costs, or end-user costs as a vendor).</w:t>
      </w:r>
    </w:p>
    <w:p w14:paraId="00000432" w14:textId="157A0A7A" w:rsidR="00031725" w:rsidRDefault="00000000">
      <w:pPr>
        <w:numPr>
          <w:ilvl w:val="0"/>
          <w:numId w:val="8"/>
        </w:numPr>
        <w:spacing w:after="0"/>
      </w:pPr>
      <w:r>
        <w:t xml:space="preserve">Understand how open standards and </w:t>
      </w:r>
      <w:r w:rsidR="00A12E37">
        <w:t>open-source</w:t>
      </w:r>
      <w:r>
        <w:t xml:space="preserve"> commitments affect vendor lock-in and interoperability between implementations, instances, and institutions.</w:t>
      </w:r>
    </w:p>
    <w:p w14:paraId="00000433" w14:textId="77777777" w:rsidR="00031725" w:rsidRDefault="00000000">
      <w:pPr>
        <w:numPr>
          <w:ilvl w:val="0"/>
          <w:numId w:val="8"/>
        </w:numPr>
      </w:pPr>
      <w:r>
        <w:t>Identify what counts as a valid implementation of the Data Director, including which capabilities are core to the specification versus optional or provided by separate agents, and how conformance with the Blueprint would be assessed or demonstrated.</w:t>
      </w:r>
    </w:p>
    <w:p w14:paraId="00000434" w14:textId="2156C777" w:rsidR="00031725" w:rsidRDefault="00000000">
      <w:pPr>
        <w:pStyle w:val="Heading2"/>
        <w:spacing w:before="220" w:after="100"/>
      </w:pPr>
      <w:bookmarkStart w:id="54" w:name="_Toc233654420"/>
      <w:r>
        <w:t>11.2 Research Institutions</w:t>
      </w:r>
      <w:bookmarkEnd w:id="54"/>
    </w:p>
    <w:p w14:paraId="00000435" w14:textId="77777777" w:rsidR="00031725" w:rsidRDefault="00000000">
      <w:r>
        <w:t>A research institution, in the context of this Blueprint, refers to an individual organisation, such as a university, research institute, or similar body, that conducts research and supports its researchers in producing and sharing research data. Research institutions are a primary deployment context for the Data Director, typically through their library, research support, or IT services, and are responsible for configuring the tool to reflect their own policies, systems, and governance arrangements.</w:t>
      </w:r>
    </w:p>
    <w:p w14:paraId="00000436" w14:textId="77777777" w:rsidR="00031725" w:rsidRDefault="00000000">
      <w:r>
        <w:t>The practical starting points below reflect considerations specific to deploying the Data Director within a single institution's existing systems, governance structures, and support arrangements.</w:t>
      </w:r>
    </w:p>
    <w:p w14:paraId="00000437" w14:textId="77777777" w:rsidR="00031725" w:rsidRDefault="00000000">
      <w:pPr>
        <w:rPr>
          <w:b/>
          <w:bCs/>
        </w:rPr>
      </w:pPr>
      <w:r>
        <w:rPr>
          <w:b/>
          <w:bCs/>
        </w:rPr>
        <w:t>Practical starting points:</w:t>
      </w:r>
    </w:p>
    <w:p w14:paraId="00000438" w14:textId="1E1F3A82" w:rsidR="00031725" w:rsidRDefault="00000000">
      <w:pPr>
        <w:numPr>
          <w:ilvl w:val="0"/>
          <w:numId w:val="13"/>
        </w:numPr>
        <w:spacing w:after="0"/>
      </w:pPr>
      <w:r>
        <w:t xml:space="preserve">Identify which systems already deployed in the institution have known integration pathways with the Data </w:t>
      </w:r>
      <w:r w:rsidR="006B70CF">
        <w:t>Director and</w:t>
      </w:r>
      <w:r>
        <w:t xml:space="preserve"> check against existing AI governance approval processes.</w:t>
      </w:r>
    </w:p>
    <w:p w14:paraId="00000439" w14:textId="77777777" w:rsidR="00031725" w:rsidRDefault="00000000">
      <w:pPr>
        <w:numPr>
          <w:ilvl w:val="0"/>
          <w:numId w:val="13"/>
        </w:numPr>
        <w:spacing w:after="0"/>
      </w:pPr>
      <w:r>
        <w:t>Decide who will train research staff and whether institutional staff will provide day-to-day support; estimate how long it will take staff to get up to speed.</w:t>
      </w:r>
    </w:p>
    <w:p w14:paraId="0000043A" w14:textId="72DD7287" w:rsidR="00031725" w:rsidRDefault="00000000">
      <w:pPr>
        <w:numPr>
          <w:ilvl w:val="0"/>
          <w:numId w:val="13"/>
        </w:numPr>
        <w:spacing w:after="0"/>
      </w:pPr>
      <w:r>
        <w:t xml:space="preserve">Define a scoped minimum viable implementation, potentially as narrow as identifying relevant repositories and metadata </w:t>
      </w:r>
      <w:r w:rsidR="007A20A6">
        <w:t>standards or</w:t>
      </w:r>
      <w:r>
        <w:t xml:space="preserve"> focusing first on open-access datasets before sensitive data.</w:t>
      </w:r>
    </w:p>
    <w:p w14:paraId="1D892F5E" w14:textId="65579C6D" w:rsidR="007A20A6" w:rsidRDefault="007A20A6">
      <w:pPr>
        <w:numPr>
          <w:ilvl w:val="0"/>
          <w:numId w:val="13"/>
        </w:numPr>
        <w:spacing w:after="0"/>
      </w:pPr>
      <w:r>
        <w:lastRenderedPageBreak/>
        <w:t>For smaller institutions, a first implementation focused on repository recommendation and basic metadata guidance for open datasets may be more achievable than a full deployment, with scope expanded once value and practical requirements are clearer.</w:t>
      </w:r>
    </w:p>
    <w:p w14:paraId="0000043B" w14:textId="77777777" w:rsidR="00031725" w:rsidRDefault="00000000">
      <w:pPr>
        <w:numPr>
          <w:ilvl w:val="0"/>
          <w:numId w:val="13"/>
        </w:numPr>
        <w:spacing w:after="0"/>
      </w:pPr>
      <w:r>
        <w:t>Plan how outputs feed back into institutional systems (e.g. CRIS, institutional repository) when a researcher deposits data in an external repository rather than the institution's own, so that a record is created locally pointing to where the data has been deposited.</w:t>
      </w:r>
    </w:p>
    <w:p w14:paraId="0000043C" w14:textId="05F0B04F" w:rsidR="00031725" w:rsidRDefault="00000000">
      <w:pPr>
        <w:numPr>
          <w:ilvl w:val="0"/>
          <w:numId w:val="13"/>
        </w:numPr>
        <w:spacing w:after="0"/>
      </w:pPr>
      <w:r>
        <w:t>Identify what onboarding documentation will be needed for IT staff, administrators, and early users (beta-users) before deployment, for example</w:t>
      </w:r>
      <w:r w:rsidR="00A12E37">
        <w:t>,</w:t>
      </w:r>
      <w:r>
        <w:t xml:space="preserve"> prerequisites, setup steps, and getting-started guidance, similar in style to vendor documentation such as </w:t>
      </w:r>
      <w:hyperlink r:id="rId89">
        <w:r w:rsidR="00031725">
          <w:rPr>
            <w:color w:val="1155CC"/>
            <w:u w:val="single"/>
          </w:rPr>
          <w:t>learn.microsoft.com</w:t>
        </w:r>
      </w:hyperlink>
      <w:r>
        <w:t>.</w:t>
      </w:r>
      <w:r>
        <w:rPr>
          <w:vertAlign w:val="superscript"/>
        </w:rPr>
        <w:footnoteReference w:id="61"/>
      </w:r>
    </w:p>
    <w:p w14:paraId="0000043D" w14:textId="77777777" w:rsidR="00031725" w:rsidRDefault="00000000">
      <w:pPr>
        <w:numPr>
          <w:ilvl w:val="0"/>
          <w:numId w:val="13"/>
        </w:numPr>
        <w:spacing w:after="0"/>
      </w:pPr>
      <w:r>
        <w:t>Clarify whether AI-assisted outputs can be claimed as research outputs or impact in national research assessment exercises (such as the UK's Research Excellence Framework (REF), Australia's Excellence in Research for Australia (ERA), or equivalent frameworks in other countries).</w:t>
      </w:r>
    </w:p>
    <w:p w14:paraId="0000043E" w14:textId="77777777" w:rsidR="00031725" w:rsidRDefault="00000000">
      <w:pPr>
        <w:numPr>
          <w:ilvl w:val="0"/>
          <w:numId w:val="13"/>
        </w:numPr>
      </w:pPr>
      <w:r>
        <w:t xml:space="preserve">For libraries, plan integration with university IT, Office of Research Development, and tools, such as research data repositories. </w:t>
      </w:r>
    </w:p>
    <w:p w14:paraId="0000043F" w14:textId="35B5EA55" w:rsidR="00031725" w:rsidRDefault="00000000">
      <w:pPr>
        <w:pStyle w:val="Heading2"/>
        <w:spacing w:before="220" w:after="100"/>
      </w:pPr>
      <w:bookmarkStart w:id="55" w:name="_Toc233654421"/>
      <w:r>
        <w:t>11.3 National Research Infrastructures</w:t>
      </w:r>
      <w:bookmarkEnd w:id="55"/>
    </w:p>
    <w:p w14:paraId="00000440" w14:textId="77777777" w:rsidR="00031725" w:rsidRDefault="00000000">
      <w:r>
        <w:t>A national research infrastructure, in the context of this Blueprint, refers to a body operating at national (or potentially regional or international) scale that provides shared research data services, systems, or platforms used across multiple institutions within a country or research community. National research infrastructures differ from individual research institutions in that their decisions about adopting and configuring the Data Director have implications for the many institutions and researchers who rely on their services, and they must additionally consider cross-institutional and cross-jurisdictional factors.</w:t>
      </w:r>
    </w:p>
    <w:p w14:paraId="00000441" w14:textId="77777777" w:rsidR="00031725" w:rsidRDefault="00000000">
      <w:r>
        <w:t>The practical starting points below reflect considerations specific to deploying the Data Director at this larger scale, including business case development, integration with existing national services, and the legal and policy implications of acting on behalf of multiple institutions and users.</w:t>
      </w:r>
    </w:p>
    <w:p w14:paraId="00000442" w14:textId="77777777" w:rsidR="00031725" w:rsidRDefault="00000000">
      <w:pPr>
        <w:rPr>
          <w:b/>
          <w:bCs/>
        </w:rPr>
      </w:pPr>
      <w:r>
        <w:rPr>
          <w:b/>
          <w:bCs/>
        </w:rPr>
        <w:t>Practical starting points:</w:t>
      </w:r>
    </w:p>
    <w:p w14:paraId="00000443" w14:textId="77777777" w:rsidR="00031725" w:rsidRDefault="00000000">
      <w:pPr>
        <w:numPr>
          <w:ilvl w:val="0"/>
          <w:numId w:val="9"/>
        </w:numPr>
        <w:spacing w:after="0"/>
      </w:pPr>
      <w:r>
        <w:t>Estimate what proportion of the national user base are candidate users, and identify existing infrastructure elements with known integration pathways, to build a business case.</w:t>
      </w:r>
    </w:p>
    <w:p w14:paraId="00000444" w14:textId="4164390A" w:rsidR="00031725" w:rsidRDefault="00000000">
      <w:pPr>
        <w:numPr>
          <w:ilvl w:val="0"/>
          <w:numId w:val="9"/>
        </w:numPr>
        <w:spacing w:after="0"/>
      </w:pPr>
      <w:r>
        <w:t>Confirm developer availability (in-house or elsewhere in the organisation</w:t>
      </w:r>
      <w:r w:rsidR="00A12E37">
        <w:t>) and</w:t>
      </w:r>
      <w:r>
        <w:t xml:space="preserve"> establish a free or low-cost development and testing environment.</w:t>
      </w:r>
    </w:p>
    <w:p w14:paraId="00000445" w14:textId="77777777" w:rsidR="00031725" w:rsidRDefault="00000000">
      <w:pPr>
        <w:numPr>
          <w:ilvl w:val="0"/>
          <w:numId w:val="9"/>
        </w:numPr>
        <w:spacing w:after="0"/>
      </w:pPr>
      <w:r>
        <w:t>Decide on the most important formats, vocabularies and schemas to support initially, rather than attempting broad coverage from the start.</w:t>
      </w:r>
    </w:p>
    <w:p w14:paraId="00000446" w14:textId="77777777" w:rsidR="00031725" w:rsidRDefault="00000000">
      <w:pPr>
        <w:numPr>
          <w:ilvl w:val="0"/>
          <w:numId w:val="9"/>
        </w:numPr>
        <w:spacing w:after="0"/>
      </w:pPr>
      <w:r>
        <w:t>Plan the transition from the reference architecture to specific workflows, supported by documentation and training for researchers.</w:t>
      </w:r>
    </w:p>
    <w:p w14:paraId="00000447" w14:textId="77777777" w:rsidR="00031725" w:rsidRDefault="00000000">
      <w:pPr>
        <w:numPr>
          <w:ilvl w:val="0"/>
          <w:numId w:val="9"/>
        </w:numPr>
        <w:spacing w:after="0"/>
      </w:pPr>
      <w:r>
        <w:lastRenderedPageBreak/>
        <w:t>Consider an SDK (Software Development Kit, a set of pre-built tools and code components that make it easier to build integrations with a system) or integration snippets as a minimum viable implementation.</w:t>
      </w:r>
    </w:p>
    <w:p w14:paraId="00000448" w14:textId="77777777" w:rsidR="00031725" w:rsidRDefault="00000000">
      <w:pPr>
        <w:numPr>
          <w:ilvl w:val="0"/>
          <w:numId w:val="9"/>
        </w:numPr>
      </w:pPr>
      <w:r>
        <w:t>Be aware of the shift from ‘user requests service’ to ‘Data Director requests service on behalf of user’ and its implications for service design and user policy.</w:t>
      </w:r>
    </w:p>
    <w:p w14:paraId="00000449" w14:textId="1EEB7D12" w:rsidR="00031725" w:rsidRDefault="00000000">
      <w:pPr>
        <w:pStyle w:val="Heading2"/>
        <w:spacing w:before="220" w:after="100"/>
      </w:pPr>
      <w:bookmarkStart w:id="56" w:name="_Toc233654422"/>
      <w:r>
        <w:t>11.4 Commercial or Non-profit Vendors</w:t>
      </w:r>
      <w:bookmarkEnd w:id="56"/>
    </w:p>
    <w:p w14:paraId="0000044A" w14:textId="77777777" w:rsidR="00031725" w:rsidRDefault="00000000">
      <w:r>
        <w:t xml:space="preserve">A commercial or non-profit vendor, in the context of this Blueprint, refers to an organisation that develops, packages, hosts, or provides support for an implementation of the Data Director on behalf of research institutions or national research infrastructures, whether as a paid product or service (commercial) or as part of a not-for-profit or community-supported offering (non-profit). </w:t>
      </w:r>
    </w:p>
    <w:p w14:paraId="0000044B" w14:textId="77777777" w:rsidR="00031725" w:rsidRDefault="00000000">
      <w:r>
        <w:t>The practical starting points below reflect considerations specific to building and offering an implementation of the Data Director to others, including business model and licensing questions, conformance, and avoiding duplication of existing implementations.</w:t>
      </w:r>
    </w:p>
    <w:p w14:paraId="0000044C" w14:textId="77777777" w:rsidR="00031725" w:rsidRDefault="00000000">
      <w:pPr>
        <w:rPr>
          <w:b/>
          <w:bCs/>
        </w:rPr>
      </w:pPr>
      <w:r>
        <w:rPr>
          <w:b/>
          <w:bCs/>
        </w:rPr>
        <w:t>Practical starting points:</w:t>
      </w:r>
    </w:p>
    <w:p w14:paraId="0000044D" w14:textId="77777777" w:rsidR="00031725" w:rsidRDefault="00000000">
      <w:pPr>
        <w:numPr>
          <w:ilvl w:val="0"/>
          <w:numId w:val="23"/>
        </w:numPr>
        <w:spacing w:after="0"/>
      </w:pPr>
      <w:r>
        <w:t>Understand what business model could be built around the tool, whether it can be extended, and whether the licence constrains rights over your own IP.</w:t>
      </w:r>
    </w:p>
    <w:p w14:paraId="0000044E" w14:textId="77777777" w:rsidR="00031725" w:rsidRDefault="00000000">
      <w:pPr>
        <w:numPr>
          <w:ilvl w:val="0"/>
          <w:numId w:val="23"/>
        </w:numPr>
      </w:pPr>
      <w:r>
        <w:t>Identify what ‘valid implementation’ means and how conformance will be assessed for sign-off.</w:t>
      </w:r>
    </w:p>
    <w:p w14:paraId="0000044F" w14:textId="77777777" w:rsidR="00031725" w:rsidRDefault="00000000">
      <w:pPr>
        <w:pStyle w:val="Heading1"/>
        <w:pBdr>
          <w:bottom w:val="single" w:sz="4" w:space="4" w:color="005B52"/>
        </w:pBdr>
      </w:pPr>
      <w:bookmarkStart w:id="57" w:name="_Toc233654423"/>
      <w:r>
        <w:t>12. Blueprint Governance</w:t>
      </w:r>
      <w:bookmarkEnd w:id="57"/>
    </w:p>
    <w:p w14:paraId="00000450" w14:textId="77777777" w:rsidR="00031725" w:rsidRDefault="00000000">
      <w:r>
        <w:t>The governance model defines how this Blueprint could be maintained, updated and kept aligned with community needs over time. Governance is the mechanism through which the community retains ownership of the specification and ensures it remains open, accurate and useful.</w:t>
      </w:r>
    </w:p>
    <w:p w14:paraId="00000451" w14:textId="77777777" w:rsidR="00031725" w:rsidRDefault="00000000">
      <w:pPr>
        <w:pStyle w:val="Heading2"/>
        <w:spacing w:before="220" w:after="100"/>
      </w:pPr>
      <w:bookmarkStart w:id="58" w:name="_Toc233654424"/>
      <w:r>
        <w:t>12.1 Ownership and Stewardship</w:t>
      </w:r>
      <w:bookmarkEnd w:id="58"/>
    </w:p>
    <w:p w14:paraId="6DF20262" w14:textId="447DAA18" w:rsidR="00A12E37" w:rsidRDefault="00000000">
      <w:r>
        <w:t xml:space="preserve">This version of the Blueprint (v0.1) is </w:t>
      </w:r>
      <w:r w:rsidR="001C265D">
        <w:t xml:space="preserve">created and </w:t>
      </w:r>
      <w:r>
        <w:t xml:space="preserve">owned by the RDA community, with the RDA positioned as </w:t>
      </w:r>
      <w:r w:rsidR="001C265D">
        <w:t>an</w:t>
      </w:r>
      <w:r>
        <w:t xml:space="preserve"> appropriate steward to keep the work open, transparent and neutral. Research institutions, infrastructures and vendors are positioned as contributors and implementers, rather than owners or governors. Ownership and governance of the Blueprint itself remain with the RDA community regardless of how the Blueprint is adopted. Separately, if the Blueprint develops into a standard, it would be useful to gather structured feedback from implementers who adopt it</w:t>
      </w:r>
      <w:r w:rsidR="001C265D">
        <w:t xml:space="preserve">. This could include </w:t>
      </w:r>
      <w:r>
        <w:t xml:space="preserve">a forum where issues that become divisive among vendors could be discussed and </w:t>
      </w:r>
      <w:r w:rsidR="001C265D">
        <w:t xml:space="preserve">reported </w:t>
      </w:r>
      <w:r>
        <w:t>back to the RDA community, helping to maintain the integrity and shareability of data for collaboration and metadata crosswalks.</w:t>
      </w:r>
    </w:p>
    <w:p w14:paraId="44CC7CC4" w14:textId="77777777" w:rsidR="001C265D" w:rsidRDefault="001C265D" w:rsidP="001C265D"/>
    <w:p w14:paraId="00000453" w14:textId="23F33888" w:rsidR="00031725" w:rsidRDefault="00000000">
      <w:pPr>
        <w:pStyle w:val="Heading2"/>
        <w:spacing w:after="40"/>
      </w:pPr>
      <w:bookmarkStart w:id="59" w:name="_Toc233654425"/>
      <w:r>
        <w:t>12.2 Maintenance and Continuity</w:t>
      </w:r>
      <w:bookmarkEnd w:id="59"/>
    </w:p>
    <w:p w14:paraId="00000454" w14:textId="1EC34FB8" w:rsidR="00031725" w:rsidRDefault="00000000">
      <w:r>
        <w:lastRenderedPageBreak/>
        <w:t>Stewardship could transition from the current time-limited Working Group to a standing maintenance function</w:t>
      </w:r>
      <w:r w:rsidR="005A1A48">
        <w:t xml:space="preserve">, </w:t>
      </w:r>
      <w:r>
        <w:t xml:space="preserve">or the Working Group could be re-formed on a time-limited basis for future iterations. Some form of ongoing maintenance presence within RDA structures </w:t>
      </w:r>
      <w:r w:rsidR="005A1A48">
        <w:t>may</w:t>
      </w:r>
      <w:r>
        <w:t xml:space="preserve"> be needed, for example</w:t>
      </w:r>
      <w:r w:rsidR="005A1A48">
        <w:t>,</w:t>
      </w:r>
      <w:r>
        <w:t xml:space="preserve"> a working group operating in a maintenance mode, or an interest group, with a rotating Chair and Co-Chair responsible for scheduling meetings, maintaining tools, working on improvements and updating policies, with rotation helping to address the risk of people losing interest over time. Either way, who carries out the work and how resources are provided would need to be addressed concretely, including how and where to recruit people to maintain the Blueprint within existing RDA structures. </w:t>
      </w:r>
    </w:p>
    <w:p w14:paraId="00000455" w14:textId="2258ABB1" w:rsidR="00031725" w:rsidRDefault="00000000">
      <w:r>
        <w:t xml:space="preserve">Agentic models could support basic maintenance tasks, such as checking and updating links and flagging where referenced ontologies have changed. This refers to tooling that supports maintenance of the Blueprint document itself, such as checking external links or flagging changes to referenced </w:t>
      </w:r>
      <w:r w:rsidR="00ED1E3F">
        <w:t>ontologies and</w:t>
      </w:r>
      <w:r>
        <w:t xml:space="preserve"> is separate from the Data Director as a deployed tool.</w:t>
      </w:r>
    </w:p>
    <w:p w14:paraId="00000456" w14:textId="77777777" w:rsidR="00031725" w:rsidRDefault="00000000">
      <w:pPr>
        <w:pStyle w:val="Heading2"/>
        <w:spacing w:after="40"/>
      </w:pPr>
      <w:bookmarkStart w:id="60" w:name="_Toc233654426"/>
      <w:r>
        <w:t>12.3 Platform and Transparency</w:t>
      </w:r>
      <w:bookmarkEnd w:id="60"/>
    </w:p>
    <w:p w14:paraId="00000457" w14:textId="2B4906E0" w:rsidR="00031725" w:rsidRDefault="00000000">
      <w:r>
        <w:t xml:space="preserve">The Blueprint could be maintained on </w:t>
      </w:r>
      <w:hyperlink r:id="rId90">
        <w:r w:rsidR="00031725">
          <w:rPr>
            <w:color w:val="1155CC"/>
            <w:u w:val="single"/>
          </w:rPr>
          <w:t>GitHub</w:t>
        </w:r>
      </w:hyperlink>
      <w:r>
        <w:t>,</w:t>
      </w:r>
      <w:r>
        <w:rPr>
          <w:vertAlign w:val="superscript"/>
        </w:rPr>
        <w:footnoteReference w:id="62"/>
      </w:r>
      <w:r>
        <w:t xml:space="preserve"> allowing changes to be tracked, monitored and versioned, an approach supported by several contributors. A machine-readable, open format</w:t>
      </w:r>
      <w:r w:rsidR="00ED1E3F">
        <w:t>,</w:t>
      </w:r>
      <w:r>
        <w:t xml:space="preserve"> such as Markdown</w:t>
      </w:r>
      <w:r w:rsidR="00ED1E3F">
        <w:t>,</w:t>
      </w:r>
      <w:r>
        <w:t xml:space="preserve"> was suggested to reduce the risk of proprietary format changes affecting it over time, with GitHub potentially synced to </w:t>
      </w:r>
      <w:hyperlink r:id="rId91">
        <w:r w:rsidR="00031725">
          <w:rPr>
            <w:color w:val="1155CC"/>
            <w:u w:val="single"/>
          </w:rPr>
          <w:t>Zenodo</w:t>
        </w:r>
      </w:hyperlink>
      <w:r>
        <w:rPr>
          <w:vertAlign w:val="superscript"/>
        </w:rPr>
        <w:footnoteReference w:id="63"/>
      </w:r>
      <w:r>
        <w:t xml:space="preserve"> or a similar platform for DOI minting and versioning. Wherever managed, the Blueprint should be openly accessible to all relevant stakeholders.</w:t>
      </w:r>
    </w:p>
    <w:p w14:paraId="00000458" w14:textId="77777777" w:rsidR="00031725" w:rsidRDefault="00000000">
      <w:pPr>
        <w:pStyle w:val="Heading2"/>
        <w:spacing w:after="40"/>
      </w:pPr>
      <w:bookmarkStart w:id="61" w:name="_Toc233654427"/>
      <w:r>
        <w:t>12.4 Review and Evolution</w:t>
      </w:r>
      <w:bookmarkEnd w:id="61"/>
    </w:p>
    <w:p w14:paraId="00000459" w14:textId="77777777" w:rsidR="00031725" w:rsidRDefault="00000000">
      <w:r>
        <w:t xml:space="preserve">Feedback could be gathered from research institutions, infrastructures and vendors who have implemented the Blueprint, to inform updates over future review cycles, dependent on a future group or facilitated programme. There is potential to learn from how other organisations have approached the maintenance of similar technical solutions, including commercial editors such as </w:t>
      </w:r>
      <w:hyperlink r:id="rId92">
        <w:r w:rsidR="00031725">
          <w:rPr>
            <w:color w:val="1155CC"/>
            <w:u w:val="single"/>
          </w:rPr>
          <w:t>Springer</w:t>
        </w:r>
      </w:hyperlink>
      <w:r>
        <w:t>,</w:t>
      </w:r>
      <w:r>
        <w:rPr>
          <w:vertAlign w:val="superscript"/>
        </w:rPr>
        <w:footnoteReference w:id="64"/>
      </w:r>
      <w:r>
        <w:t xml:space="preserve"> </w:t>
      </w:r>
      <w:hyperlink r:id="rId93">
        <w:r w:rsidR="00031725">
          <w:rPr>
            <w:color w:val="1155CC"/>
            <w:u w:val="single"/>
          </w:rPr>
          <w:t>Elsevier</w:t>
        </w:r>
      </w:hyperlink>
      <w:r>
        <w:rPr>
          <w:vertAlign w:val="superscript"/>
        </w:rPr>
        <w:footnoteReference w:id="65"/>
      </w:r>
      <w:r>
        <w:t xml:space="preserve"> and </w:t>
      </w:r>
      <w:hyperlink r:id="rId94">
        <w:r w:rsidR="00031725">
          <w:rPr>
            <w:color w:val="1155CC"/>
            <w:u w:val="single"/>
          </w:rPr>
          <w:t>MDPI</w:t>
        </w:r>
      </w:hyperlink>
      <w:r>
        <w:rPr>
          <w:vertAlign w:val="superscript"/>
        </w:rPr>
        <w:footnoteReference w:id="66"/>
      </w:r>
      <w:r>
        <w:t xml:space="preserve"> who have implemented data repositories, AI developers with an interest in the scientific sector, and </w:t>
      </w:r>
      <w:hyperlink r:id="rId95">
        <w:r w:rsidR="00031725">
          <w:rPr>
            <w:color w:val="1155CC"/>
            <w:u w:val="single"/>
          </w:rPr>
          <w:t>W3C</w:t>
        </w:r>
      </w:hyperlink>
      <w:r>
        <w:t>,</w:t>
      </w:r>
      <w:r>
        <w:rPr>
          <w:vertAlign w:val="superscript"/>
        </w:rPr>
        <w:footnoteReference w:id="67"/>
      </w:r>
      <w:r>
        <w:t xml:space="preserve"> where examples exist of retro-compatibility being maintained between implementations and a specification. The Blueprint could evolve based on feedback from real-world implementations.</w:t>
      </w:r>
    </w:p>
    <w:p w14:paraId="0000045A" w14:textId="77777777" w:rsidR="00031725" w:rsidRDefault="00000000">
      <w:pPr>
        <w:pStyle w:val="Heading2"/>
        <w:spacing w:after="40"/>
      </w:pPr>
      <w:bookmarkStart w:id="62" w:name="_Toc233654428"/>
      <w:r>
        <w:t>12.5 Scope and Sustainability</w:t>
      </w:r>
      <w:bookmarkEnd w:id="62"/>
    </w:p>
    <w:p w14:paraId="0000045B" w14:textId="77777777" w:rsidR="00031725" w:rsidRDefault="00000000">
      <w:r>
        <w:t xml:space="preserve">A question was raised as to whether this document is a seed point for implementers to build on as they see fit, or a technical specification that continues to be updated, the latter requiring considerably more ongoing work. Future iterations of the Blueprint would benefit from more </w:t>
      </w:r>
      <w:r>
        <w:lastRenderedPageBreak/>
        <w:t>explicitly distinguishing between normative requirements that all implementations must satisfy, implementation guidance that supports but does not constrain implementation choices, and optional examples or future considerations that are illustrative or deferred. If the Blueprint continues as an ongoing activity, a sustainability model would be needed, including a concrete answer to how maintenance is resourced.</w:t>
      </w:r>
    </w:p>
    <w:p w14:paraId="0000045C" w14:textId="77777777" w:rsidR="00031725" w:rsidRDefault="00000000">
      <w:pPr>
        <w:pStyle w:val="Heading1"/>
        <w:pBdr>
          <w:bottom w:val="single" w:sz="4" w:space="4" w:color="005B52"/>
        </w:pBdr>
        <w:rPr>
          <w:color w:val="1A1A1A"/>
          <w:sz w:val="20"/>
          <w:szCs w:val="20"/>
        </w:rPr>
      </w:pPr>
      <w:bookmarkStart w:id="63" w:name="_Toc233654429"/>
      <w:r>
        <w:t>13. Open Questions and Future Iterations</w:t>
      </w:r>
      <w:bookmarkEnd w:id="63"/>
    </w:p>
    <w:p w14:paraId="0000045D" w14:textId="77777777" w:rsidR="00031725" w:rsidRDefault="00000000">
      <w:r>
        <w:t>This section documents the current boundaries of the Blueprint. Section 13.1 sets out design questions that remain unresolved in this version, for consideration as the specification develops and section 13.2 identifies considerations deferred to future iterations.</w:t>
      </w:r>
    </w:p>
    <w:p w14:paraId="0000045E" w14:textId="77777777" w:rsidR="00031725" w:rsidRDefault="00000000">
      <w:pPr>
        <w:pStyle w:val="Heading2"/>
        <w:spacing w:after="180"/>
      </w:pPr>
      <w:bookmarkStart w:id="64" w:name="_Toc233654430"/>
      <w:r>
        <w:t>13.1 Unresolved Design Questions</w:t>
      </w:r>
      <w:bookmarkEnd w:id="64"/>
    </w:p>
    <w:p w14:paraId="0000045F" w14:textId="1DF42F92" w:rsidR="00031725" w:rsidRDefault="00A12E37">
      <w:r>
        <w:t>Table 10 presents design questions identified during the Blueprint programme that remain unresolved in this version, for consideration as the specification develops.</w:t>
      </w:r>
    </w:p>
    <w:p w14:paraId="00000460" w14:textId="77777777" w:rsidR="00031725" w:rsidRDefault="00000000">
      <w:pPr>
        <w:rPr>
          <w:sz w:val="18"/>
          <w:szCs w:val="18"/>
        </w:rPr>
      </w:pPr>
      <w:r>
        <w:rPr>
          <w:b/>
          <w:bCs/>
          <w:sz w:val="18"/>
          <w:szCs w:val="18"/>
        </w:rPr>
        <w:t xml:space="preserve">Table 10. </w:t>
      </w:r>
      <w:r>
        <w:rPr>
          <w:sz w:val="18"/>
          <w:szCs w:val="18"/>
        </w:rPr>
        <w:t>Open questions raised during the development of this Blueprint that remain unresolved in this iteration and require further community discussion, governance decisions, or design work before they can be closed.</w:t>
      </w:r>
    </w:p>
    <w:tbl>
      <w:tblPr>
        <w:tblStyle w:val="ab"/>
        <w:tblW w:w="83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60"/>
        <w:gridCol w:w="3165"/>
        <w:gridCol w:w="3630"/>
      </w:tblGrid>
      <w:tr w:rsidR="00031725" w14:paraId="789DEB89" w14:textId="77777777">
        <w:trPr>
          <w:trHeight w:val="330"/>
        </w:trPr>
        <w:tc>
          <w:tcPr>
            <w:tcW w:w="1560" w:type="dxa"/>
            <w:tcBorders>
              <w:top w:val="single" w:sz="5" w:space="0" w:color="005B52"/>
              <w:left w:val="single" w:sz="5" w:space="0" w:color="005B52"/>
              <w:bottom w:val="single" w:sz="5" w:space="0" w:color="005B52"/>
              <w:right w:val="single" w:sz="5" w:space="0" w:color="005B52"/>
            </w:tcBorders>
            <w:shd w:val="clear" w:color="auto" w:fill="005B52"/>
            <w:tcMar>
              <w:top w:w="60" w:type="dxa"/>
              <w:left w:w="100" w:type="dxa"/>
              <w:bottom w:w="60" w:type="dxa"/>
              <w:right w:w="100" w:type="dxa"/>
            </w:tcMar>
          </w:tcPr>
          <w:p w14:paraId="00000461" w14:textId="77777777" w:rsidR="00031725" w:rsidRDefault="00000000">
            <w:pPr>
              <w:spacing w:after="0"/>
              <w:jc w:val="center"/>
              <w:rPr>
                <w:b/>
                <w:bCs/>
                <w:color w:val="FFFFFF"/>
                <w:sz w:val="18"/>
                <w:szCs w:val="18"/>
              </w:rPr>
            </w:pPr>
            <w:r>
              <w:rPr>
                <w:b/>
                <w:bCs/>
                <w:color w:val="FFFFFF"/>
                <w:sz w:val="18"/>
                <w:szCs w:val="18"/>
              </w:rPr>
              <w:t>Theme</w:t>
            </w:r>
          </w:p>
        </w:tc>
        <w:tc>
          <w:tcPr>
            <w:tcW w:w="3165" w:type="dxa"/>
            <w:tcBorders>
              <w:top w:val="single" w:sz="5" w:space="0" w:color="005B52"/>
              <w:left w:val="single" w:sz="5" w:space="0" w:color="005B52"/>
              <w:bottom w:val="single" w:sz="5" w:space="0" w:color="005B52"/>
              <w:right w:val="single" w:sz="5" w:space="0" w:color="005B52"/>
            </w:tcBorders>
            <w:shd w:val="clear" w:color="auto" w:fill="005B52"/>
            <w:tcMar>
              <w:top w:w="60" w:type="dxa"/>
              <w:left w:w="100" w:type="dxa"/>
              <w:bottom w:w="60" w:type="dxa"/>
              <w:right w:w="100" w:type="dxa"/>
            </w:tcMar>
          </w:tcPr>
          <w:p w14:paraId="00000462" w14:textId="77777777" w:rsidR="00031725" w:rsidRDefault="00000000">
            <w:pPr>
              <w:spacing w:after="0"/>
              <w:jc w:val="center"/>
              <w:rPr>
                <w:b/>
                <w:bCs/>
                <w:color w:val="FFFFFF"/>
                <w:sz w:val="18"/>
                <w:szCs w:val="18"/>
              </w:rPr>
            </w:pPr>
            <w:r>
              <w:rPr>
                <w:b/>
                <w:bCs/>
                <w:color w:val="FFFFFF"/>
                <w:sz w:val="18"/>
                <w:szCs w:val="18"/>
              </w:rPr>
              <w:t>Question</w:t>
            </w:r>
          </w:p>
        </w:tc>
        <w:tc>
          <w:tcPr>
            <w:tcW w:w="3630" w:type="dxa"/>
            <w:tcBorders>
              <w:top w:val="single" w:sz="5" w:space="0" w:color="005B52"/>
              <w:left w:val="single" w:sz="5" w:space="0" w:color="005B52"/>
              <w:bottom w:val="single" w:sz="5" w:space="0" w:color="005B52"/>
              <w:right w:val="single" w:sz="5" w:space="0" w:color="005B52"/>
            </w:tcBorders>
            <w:shd w:val="clear" w:color="auto" w:fill="005B52"/>
            <w:tcMar>
              <w:top w:w="60" w:type="dxa"/>
              <w:left w:w="100" w:type="dxa"/>
              <w:bottom w:w="60" w:type="dxa"/>
              <w:right w:w="100" w:type="dxa"/>
            </w:tcMar>
          </w:tcPr>
          <w:p w14:paraId="00000463" w14:textId="77777777" w:rsidR="00031725" w:rsidRDefault="00000000">
            <w:pPr>
              <w:spacing w:after="0"/>
              <w:jc w:val="center"/>
              <w:rPr>
                <w:b/>
                <w:bCs/>
                <w:color w:val="FFFFFF"/>
                <w:sz w:val="18"/>
                <w:szCs w:val="18"/>
              </w:rPr>
            </w:pPr>
            <w:r>
              <w:rPr>
                <w:b/>
                <w:bCs/>
                <w:color w:val="FFFFFF"/>
                <w:sz w:val="18"/>
                <w:szCs w:val="18"/>
              </w:rPr>
              <w:t>Notes</w:t>
            </w:r>
          </w:p>
        </w:tc>
      </w:tr>
      <w:tr w:rsidR="00031725" w14:paraId="5D61D5E3" w14:textId="77777777">
        <w:trPr>
          <w:trHeight w:val="1215"/>
        </w:trPr>
        <w:tc>
          <w:tcPr>
            <w:tcW w:w="1560" w:type="dxa"/>
            <w:tcBorders>
              <w:top w:val="single" w:sz="5" w:space="0" w:color="005B52"/>
              <w:left w:val="single" w:sz="5" w:space="0" w:color="005B52"/>
              <w:bottom w:val="single" w:sz="5" w:space="0" w:color="005B52"/>
              <w:right w:val="single" w:sz="5" w:space="0" w:color="005B52"/>
            </w:tcBorders>
            <w:tcMar>
              <w:top w:w="60" w:type="dxa"/>
              <w:left w:w="100" w:type="dxa"/>
              <w:bottom w:w="60" w:type="dxa"/>
              <w:right w:w="100" w:type="dxa"/>
            </w:tcMar>
          </w:tcPr>
          <w:p w14:paraId="00000464" w14:textId="77777777" w:rsidR="00031725" w:rsidRDefault="00000000">
            <w:pPr>
              <w:spacing w:after="0"/>
              <w:rPr>
                <w:b/>
                <w:bCs/>
                <w:sz w:val="16"/>
                <w:szCs w:val="16"/>
              </w:rPr>
            </w:pPr>
            <w:r>
              <w:rPr>
                <w:b/>
                <w:bCs/>
                <w:sz w:val="16"/>
                <w:szCs w:val="16"/>
              </w:rPr>
              <w:t>FAIR evaluation</w:t>
            </w:r>
          </w:p>
        </w:tc>
        <w:tc>
          <w:tcPr>
            <w:tcW w:w="3165" w:type="dxa"/>
            <w:tcBorders>
              <w:top w:val="single" w:sz="5" w:space="0" w:color="005B52"/>
              <w:left w:val="single" w:sz="5" w:space="0" w:color="005B52"/>
              <w:bottom w:val="single" w:sz="5" w:space="0" w:color="005B52"/>
              <w:right w:val="single" w:sz="5" w:space="0" w:color="005B52"/>
            </w:tcBorders>
            <w:tcMar>
              <w:top w:w="60" w:type="dxa"/>
              <w:left w:w="100" w:type="dxa"/>
              <w:bottom w:w="60" w:type="dxa"/>
              <w:right w:w="100" w:type="dxa"/>
            </w:tcMar>
          </w:tcPr>
          <w:p w14:paraId="00000465" w14:textId="77777777" w:rsidR="00031725" w:rsidRDefault="00000000">
            <w:pPr>
              <w:spacing w:after="0"/>
              <w:rPr>
                <w:sz w:val="16"/>
                <w:szCs w:val="16"/>
              </w:rPr>
            </w:pPr>
            <w:r>
              <w:rPr>
                <w:sz w:val="16"/>
                <w:szCs w:val="16"/>
              </w:rPr>
              <w:t>Should the Data Director support evaluation of already-published digital objects (e.g. via FAIRassist), in addition to metadata produced during the publication workflow?</w:t>
            </w:r>
          </w:p>
        </w:tc>
        <w:tc>
          <w:tcPr>
            <w:tcW w:w="3630" w:type="dxa"/>
            <w:tcBorders>
              <w:top w:val="single" w:sz="5" w:space="0" w:color="005B52"/>
              <w:left w:val="single" w:sz="5" w:space="0" w:color="005B52"/>
              <w:bottom w:val="single" w:sz="5" w:space="0" w:color="005B52"/>
              <w:right w:val="single" w:sz="5" w:space="0" w:color="005B52"/>
            </w:tcBorders>
            <w:tcMar>
              <w:top w:w="60" w:type="dxa"/>
              <w:left w:w="100" w:type="dxa"/>
              <w:bottom w:w="60" w:type="dxa"/>
              <w:right w:w="100" w:type="dxa"/>
            </w:tcMar>
          </w:tcPr>
          <w:p w14:paraId="00000466" w14:textId="77777777" w:rsidR="00031725" w:rsidRDefault="00000000">
            <w:pPr>
              <w:spacing w:after="0"/>
              <w:rPr>
                <w:sz w:val="16"/>
                <w:szCs w:val="16"/>
              </w:rPr>
            </w:pPr>
            <w:r>
              <w:rPr>
                <w:sz w:val="16"/>
                <w:szCs w:val="16"/>
              </w:rPr>
              <w:t>The community has indicated this would be valuable. Open questions remain about how the tool connects to external evaluation services post-publication, how results are surfaced, and how findings are recorded in the provenance chain.</w:t>
            </w:r>
          </w:p>
        </w:tc>
      </w:tr>
      <w:tr w:rsidR="00031725" w14:paraId="0D574DB2" w14:textId="77777777">
        <w:trPr>
          <w:trHeight w:val="855"/>
        </w:trPr>
        <w:tc>
          <w:tcPr>
            <w:tcW w:w="1560" w:type="dxa"/>
            <w:tcBorders>
              <w:top w:val="single" w:sz="5" w:space="0" w:color="005B52"/>
              <w:left w:val="single" w:sz="5" w:space="0" w:color="005B52"/>
              <w:bottom w:val="single" w:sz="5" w:space="0" w:color="005B52"/>
              <w:right w:val="single" w:sz="5" w:space="0" w:color="005B52"/>
            </w:tcBorders>
            <w:tcMar>
              <w:top w:w="60" w:type="dxa"/>
              <w:left w:w="100" w:type="dxa"/>
              <w:bottom w:w="60" w:type="dxa"/>
              <w:right w:w="100" w:type="dxa"/>
            </w:tcMar>
          </w:tcPr>
          <w:p w14:paraId="00000467" w14:textId="77777777" w:rsidR="00031725" w:rsidRDefault="00000000">
            <w:pPr>
              <w:spacing w:after="0"/>
              <w:rPr>
                <w:b/>
                <w:bCs/>
                <w:sz w:val="16"/>
                <w:szCs w:val="16"/>
              </w:rPr>
            </w:pPr>
            <w:r>
              <w:rPr>
                <w:b/>
                <w:bCs/>
                <w:sz w:val="16"/>
                <w:szCs w:val="16"/>
              </w:rPr>
              <w:t>FAIR evaluation</w:t>
            </w:r>
          </w:p>
        </w:tc>
        <w:tc>
          <w:tcPr>
            <w:tcW w:w="3165" w:type="dxa"/>
            <w:tcBorders>
              <w:top w:val="single" w:sz="5" w:space="0" w:color="005B52"/>
              <w:left w:val="single" w:sz="5" w:space="0" w:color="005B52"/>
              <w:bottom w:val="single" w:sz="5" w:space="0" w:color="005B52"/>
              <w:right w:val="single" w:sz="5" w:space="0" w:color="005B52"/>
            </w:tcBorders>
            <w:tcMar>
              <w:top w:w="60" w:type="dxa"/>
              <w:left w:w="100" w:type="dxa"/>
              <w:bottom w:w="60" w:type="dxa"/>
              <w:right w:w="100" w:type="dxa"/>
            </w:tcMar>
          </w:tcPr>
          <w:p w14:paraId="00000468" w14:textId="77777777" w:rsidR="00031725" w:rsidRDefault="00000000">
            <w:pPr>
              <w:spacing w:after="0"/>
              <w:rPr>
                <w:sz w:val="16"/>
                <w:szCs w:val="16"/>
              </w:rPr>
            </w:pPr>
            <w:r>
              <w:rPr>
                <w:sz w:val="16"/>
                <w:szCs w:val="16"/>
              </w:rPr>
              <w:t>Should FAIR be assessed at the FIP level rather than FDO level, and separately at repository, dataset, and file levels, given the current architecture conflates these?</w:t>
            </w:r>
          </w:p>
        </w:tc>
        <w:tc>
          <w:tcPr>
            <w:tcW w:w="3630" w:type="dxa"/>
            <w:tcBorders>
              <w:top w:val="single" w:sz="5" w:space="0" w:color="005B52"/>
              <w:left w:val="single" w:sz="5" w:space="0" w:color="005B52"/>
              <w:bottom w:val="single" w:sz="5" w:space="0" w:color="005B52"/>
              <w:right w:val="single" w:sz="5" w:space="0" w:color="005B52"/>
            </w:tcBorders>
            <w:tcMar>
              <w:top w:w="60" w:type="dxa"/>
              <w:left w:w="100" w:type="dxa"/>
              <w:bottom w:w="60" w:type="dxa"/>
              <w:right w:w="100" w:type="dxa"/>
            </w:tcMar>
          </w:tcPr>
          <w:p w14:paraId="00000469" w14:textId="77777777" w:rsidR="00031725" w:rsidRDefault="00000000">
            <w:pPr>
              <w:spacing w:after="0"/>
              <w:rPr>
                <w:sz w:val="16"/>
                <w:szCs w:val="16"/>
              </w:rPr>
            </w:pPr>
            <w:r>
              <w:rPr>
                <w:sz w:val="16"/>
                <w:szCs w:val="16"/>
              </w:rPr>
              <w:t>Structural issue affecting the uses table (Section 4.1) and reference architecture (Section 9).</w:t>
            </w:r>
          </w:p>
        </w:tc>
      </w:tr>
      <w:tr w:rsidR="00031725" w14:paraId="694C4C2D" w14:textId="77777777">
        <w:trPr>
          <w:trHeight w:val="1035"/>
        </w:trPr>
        <w:tc>
          <w:tcPr>
            <w:tcW w:w="1560" w:type="dxa"/>
            <w:tcBorders>
              <w:top w:val="single" w:sz="5" w:space="0" w:color="005B52"/>
              <w:left w:val="single" w:sz="5" w:space="0" w:color="005B52"/>
              <w:bottom w:val="single" w:sz="5" w:space="0" w:color="005B52"/>
              <w:right w:val="single" w:sz="5" w:space="0" w:color="005B52"/>
            </w:tcBorders>
            <w:tcMar>
              <w:top w:w="60" w:type="dxa"/>
              <w:left w:w="100" w:type="dxa"/>
              <w:bottom w:w="60" w:type="dxa"/>
              <w:right w:w="100" w:type="dxa"/>
            </w:tcMar>
          </w:tcPr>
          <w:p w14:paraId="0000046A" w14:textId="77777777" w:rsidR="00031725" w:rsidRDefault="00000000">
            <w:pPr>
              <w:spacing w:after="0"/>
              <w:rPr>
                <w:b/>
                <w:bCs/>
                <w:sz w:val="16"/>
                <w:szCs w:val="16"/>
              </w:rPr>
            </w:pPr>
            <w:r>
              <w:rPr>
                <w:b/>
                <w:bCs/>
                <w:sz w:val="16"/>
                <w:szCs w:val="16"/>
              </w:rPr>
              <w:t>Openness and sovereignty</w:t>
            </w:r>
          </w:p>
        </w:tc>
        <w:tc>
          <w:tcPr>
            <w:tcW w:w="3165" w:type="dxa"/>
            <w:tcBorders>
              <w:top w:val="single" w:sz="5" w:space="0" w:color="005B52"/>
              <w:left w:val="single" w:sz="5" w:space="0" w:color="005B52"/>
              <w:bottom w:val="single" w:sz="5" w:space="0" w:color="005B52"/>
              <w:right w:val="single" w:sz="5" w:space="0" w:color="005B52"/>
            </w:tcBorders>
            <w:tcMar>
              <w:top w:w="60" w:type="dxa"/>
              <w:left w:w="100" w:type="dxa"/>
              <w:bottom w:w="60" w:type="dxa"/>
              <w:right w:w="100" w:type="dxa"/>
            </w:tcMar>
          </w:tcPr>
          <w:p w14:paraId="0000046B" w14:textId="77777777" w:rsidR="00031725" w:rsidRDefault="00000000">
            <w:pPr>
              <w:spacing w:after="0"/>
              <w:rPr>
                <w:sz w:val="16"/>
                <w:szCs w:val="16"/>
              </w:rPr>
            </w:pPr>
            <w:r>
              <w:rPr>
                <w:sz w:val="16"/>
                <w:szCs w:val="16"/>
              </w:rPr>
              <w:t>Should P2 (Open First) be reframed as “as open as possible, as sovereign, protected, and accountable as necessary,” conditioned on human rights, consent, and community authority?</w:t>
            </w:r>
          </w:p>
        </w:tc>
        <w:tc>
          <w:tcPr>
            <w:tcW w:w="3630" w:type="dxa"/>
            <w:tcBorders>
              <w:top w:val="single" w:sz="5" w:space="0" w:color="005B52"/>
              <w:left w:val="single" w:sz="5" w:space="0" w:color="005B52"/>
              <w:bottom w:val="single" w:sz="5" w:space="0" w:color="005B52"/>
              <w:right w:val="single" w:sz="5" w:space="0" w:color="005B52"/>
            </w:tcBorders>
            <w:tcMar>
              <w:top w:w="60" w:type="dxa"/>
              <w:left w:w="100" w:type="dxa"/>
              <w:bottom w:w="60" w:type="dxa"/>
              <w:right w:w="100" w:type="dxa"/>
            </w:tcMar>
          </w:tcPr>
          <w:p w14:paraId="0000046C" w14:textId="77777777" w:rsidR="00031725" w:rsidRDefault="00000000">
            <w:pPr>
              <w:spacing w:after="0"/>
              <w:rPr>
                <w:sz w:val="16"/>
                <w:szCs w:val="16"/>
              </w:rPr>
            </w:pPr>
            <w:r>
              <w:rPr>
                <w:sz w:val="16"/>
                <w:szCs w:val="16"/>
              </w:rPr>
              <w:t xml:space="preserve">Raised as critical for international projects and genuine inclusivity, to avoid widening the digital divide. Needs resolving before national-level deployment. </w:t>
            </w:r>
          </w:p>
        </w:tc>
      </w:tr>
      <w:tr w:rsidR="00031725" w14:paraId="2F134220" w14:textId="77777777">
        <w:trPr>
          <w:trHeight w:val="1215"/>
        </w:trPr>
        <w:tc>
          <w:tcPr>
            <w:tcW w:w="1560" w:type="dxa"/>
            <w:tcBorders>
              <w:top w:val="single" w:sz="5" w:space="0" w:color="005B52"/>
              <w:left w:val="single" w:sz="5" w:space="0" w:color="005B52"/>
              <w:bottom w:val="single" w:sz="5" w:space="0" w:color="005B52"/>
              <w:right w:val="single" w:sz="5" w:space="0" w:color="005B52"/>
            </w:tcBorders>
            <w:tcMar>
              <w:top w:w="60" w:type="dxa"/>
              <w:left w:w="100" w:type="dxa"/>
              <w:bottom w:w="60" w:type="dxa"/>
              <w:right w:w="100" w:type="dxa"/>
            </w:tcMar>
          </w:tcPr>
          <w:p w14:paraId="0000046D" w14:textId="77777777" w:rsidR="00031725" w:rsidRDefault="00000000">
            <w:pPr>
              <w:spacing w:after="0"/>
              <w:rPr>
                <w:b/>
                <w:bCs/>
                <w:sz w:val="16"/>
                <w:szCs w:val="16"/>
              </w:rPr>
            </w:pPr>
            <w:r>
              <w:rPr>
                <w:b/>
                <w:bCs/>
                <w:sz w:val="16"/>
                <w:szCs w:val="16"/>
              </w:rPr>
              <w:t>Openness and sovereignty</w:t>
            </w:r>
          </w:p>
        </w:tc>
        <w:tc>
          <w:tcPr>
            <w:tcW w:w="3165" w:type="dxa"/>
            <w:tcBorders>
              <w:top w:val="single" w:sz="5" w:space="0" w:color="005B52"/>
              <w:left w:val="single" w:sz="5" w:space="0" w:color="005B52"/>
              <w:bottom w:val="single" w:sz="5" w:space="0" w:color="005B52"/>
              <w:right w:val="single" w:sz="5" w:space="0" w:color="005B52"/>
            </w:tcBorders>
            <w:tcMar>
              <w:top w:w="60" w:type="dxa"/>
              <w:left w:w="100" w:type="dxa"/>
              <w:bottom w:w="60" w:type="dxa"/>
              <w:right w:w="100" w:type="dxa"/>
            </w:tcMar>
          </w:tcPr>
          <w:p w14:paraId="0000046E" w14:textId="77777777" w:rsidR="00031725" w:rsidRDefault="00000000">
            <w:pPr>
              <w:spacing w:after="0"/>
              <w:rPr>
                <w:sz w:val="16"/>
                <w:szCs w:val="16"/>
              </w:rPr>
            </w:pPr>
            <w:r>
              <w:rPr>
                <w:sz w:val="16"/>
                <w:szCs w:val="16"/>
              </w:rPr>
              <w:t>Should computation be brought to the data, rather than data moved to computation, where residency requirements prevent central processing?</w:t>
            </w:r>
          </w:p>
        </w:tc>
        <w:tc>
          <w:tcPr>
            <w:tcW w:w="3630" w:type="dxa"/>
            <w:tcBorders>
              <w:top w:val="single" w:sz="5" w:space="0" w:color="005B52"/>
              <w:left w:val="single" w:sz="5" w:space="0" w:color="005B52"/>
              <w:bottom w:val="single" w:sz="5" w:space="0" w:color="005B52"/>
              <w:right w:val="single" w:sz="5" w:space="0" w:color="005B52"/>
            </w:tcBorders>
            <w:tcMar>
              <w:top w:w="60" w:type="dxa"/>
              <w:left w:w="100" w:type="dxa"/>
              <w:bottom w:w="60" w:type="dxa"/>
              <w:right w:w="100" w:type="dxa"/>
            </w:tcMar>
          </w:tcPr>
          <w:p w14:paraId="0000046F" w14:textId="77777777" w:rsidR="00031725" w:rsidRDefault="00000000">
            <w:pPr>
              <w:spacing w:after="0"/>
              <w:rPr>
                <w:sz w:val="16"/>
                <w:szCs w:val="16"/>
              </w:rPr>
            </w:pPr>
            <w:r>
              <w:rPr>
                <w:sz w:val="16"/>
                <w:szCs w:val="16"/>
              </w:rPr>
              <w:t>A recognised pattern in sensitive data environments, but the practical means of achieving it depends on institutional infrastructure and is not specified. Implementers under strict sovereignty or residency constraints should treat this as requiring institutional design.</w:t>
            </w:r>
          </w:p>
        </w:tc>
      </w:tr>
      <w:tr w:rsidR="00031725" w14:paraId="10DC8F0F" w14:textId="77777777">
        <w:trPr>
          <w:trHeight w:val="1935"/>
        </w:trPr>
        <w:tc>
          <w:tcPr>
            <w:tcW w:w="1560" w:type="dxa"/>
            <w:tcBorders>
              <w:top w:val="single" w:sz="5" w:space="0" w:color="005B52"/>
              <w:left w:val="single" w:sz="5" w:space="0" w:color="005B52"/>
              <w:bottom w:val="single" w:sz="5" w:space="0" w:color="005B52"/>
              <w:right w:val="single" w:sz="5" w:space="0" w:color="005B52"/>
            </w:tcBorders>
            <w:tcMar>
              <w:top w:w="60" w:type="dxa"/>
              <w:left w:w="100" w:type="dxa"/>
              <w:bottom w:w="60" w:type="dxa"/>
              <w:right w:w="100" w:type="dxa"/>
            </w:tcMar>
          </w:tcPr>
          <w:p w14:paraId="00000470" w14:textId="77777777" w:rsidR="00031725" w:rsidRDefault="00000000">
            <w:pPr>
              <w:spacing w:after="0"/>
              <w:rPr>
                <w:b/>
                <w:bCs/>
                <w:sz w:val="16"/>
                <w:szCs w:val="16"/>
              </w:rPr>
            </w:pPr>
            <w:r>
              <w:rPr>
                <w:b/>
                <w:bCs/>
                <w:sz w:val="16"/>
                <w:szCs w:val="16"/>
              </w:rPr>
              <w:lastRenderedPageBreak/>
              <w:t>AI safety, resilience and evaluation governance</w:t>
            </w:r>
          </w:p>
        </w:tc>
        <w:tc>
          <w:tcPr>
            <w:tcW w:w="3165" w:type="dxa"/>
            <w:tcBorders>
              <w:top w:val="single" w:sz="5" w:space="0" w:color="005B52"/>
              <w:left w:val="single" w:sz="5" w:space="0" w:color="005B52"/>
              <w:bottom w:val="single" w:sz="5" w:space="0" w:color="005B52"/>
              <w:right w:val="single" w:sz="5" w:space="0" w:color="005B52"/>
            </w:tcBorders>
            <w:tcMar>
              <w:top w:w="60" w:type="dxa"/>
              <w:left w:w="100" w:type="dxa"/>
              <w:bottom w:w="60" w:type="dxa"/>
              <w:right w:w="100" w:type="dxa"/>
            </w:tcMar>
          </w:tcPr>
          <w:p w14:paraId="00000471" w14:textId="77777777" w:rsidR="00031725" w:rsidRDefault="00000000">
            <w:pPr>
              <w:spacing w:after="0"/>
              <w:rPr>
                <w:sz w:val="16"/>
                <w:szCs w:val="16"/>
              </w:rPr>
            </w:pPr>
            <w:r>
              <w:rPr>
                <w:sz w:val="16"/>
                <w:szCs w:val="16"/>
              </w:rPr>
              <w:t>How should the safety, transparency and resilience of the Data Director be assessed, reported and governed over time, including where humans remain in the loop, what outputs must always be reviewed, and how escalation and suspension should work?</w:t>
            </w:r>
          </w:p>
        </w:tc>
        <w:tc>
          <w:tcPr>
            <w:tcW w:w="3630" w:type="dxa"/>
            <w:tcBorders>
              <w:top w:val="single" w:sz="5" w:space="0" w:color="005B52"/>
              <w:left w:val="single" w:sz="5" w:space="0" w:color="005B52"/>
              <w:bottom w:val="single" w:sz="5" w:space="0" w:color="005B52"/>
              <w:right w:val="single" w:sz="5" w:space="0" w:color="005B52"/>
            </w:tcBorders>
            <w:tcMar>
              <w:top w:w="60" w:type="dxa"/>
              <w:left w:w="100" w:type="dxa"/>
              <w:bottom w:w="60" w:type="dxa"/>
              <w:right w:w="100" w:type="dxa"/>
            </w:tcMar>
          </w:tcPr>
          <w:p w14:paraId="00000472" w14:textId="77777777" w:rsidR="00031725" w:rsidRDefault="00000000">
            <w:pPr>
              <w:spacing w:after="0"/>
              <w:rPr>
                <w:sz w:val="16"/>
                <w:szCs w:val="16"/>
              </w:rPr>
            </w:pPr>
            <w:r>
              <w:rPr>
                <w:sz w:val="16"/>
                <w:szCs w:val="16"/>
              </w:rPr>
              <w:t>C13 and C14 set requirements for responsible AI behaviour, but how the tool is audited against emerging governance frameworks, monitored in production, and trusted as capabilities evolve remains open. Identified as the key community governance question; decisions are expected to need review as agent competence grows, with the appropriate level of oversight likely determined by the funder or institution based on resourcing and workload.</w:t>
            </w:r>
          </w:p>
        </w:tc>
      </w:tr>
      <w:tr w:rsidR="00031725" w14:paraId="7868E639" w14:textId="77777777">
        <w:trPr>
          <w:trHeight w:val="1215"/>
        </w:trPr>
        <w:tc>
          <w:tcPr>
            <w:tcW w:w="1560" w:type="dxa"/>
            <w:tcBorders>
              <w:top w:val="single" w:sz="5" w:space="0" w:color="005B52"/>
              <w:left w:val="single" w:sz="5" w:space="0" w:color="005B52"/>
              <w:bottom w:val="single" w:sz="5" w:space="0" w:color="005B52"/>
              <w:right w:val="single" w:sz="5" w:space="0" w:color="005B52"/>
            </w:tcBorders>
            <w:tcMar>
              <w:top w:w="60" w:type="dxa"/>
              <w:left w:w="100" w:type="dxa"/>
              <w:bottom w:w="60" w:type="dxa"/>
              <w:right w:w="100" w:type="dxa"/>
            </w:tcMar>
          </w:tcPr>
          <w:p w14:paraId="00000473" w14:textId="77777777" w:rsidR="00031725" w:rsidRDefault="00000000">
            <w:pPr>
              <w:spacing w:after="0"/>
              <w:rPr>
                <w:b/>
                <w:bCs/>
                <w:sz w:val="16"/>
                <w:szCs w:val="16"/>
              </w:rPr>
            </w:pPr>
            <w:r>
              <w:rPr>
                <w:b/>
                <w:bCs/>
                <w:sz w:val="16"/>
                <w:szCs w:val="16"/>
              </w:rPr>
              <w:t>Interoperability</w:t>
            </w:r>
          </w:p>
        </w:tc>
        <w:tc>
          <w:tcPr>
            <w:tcW w:w="3165" w:type="dxa"/>
            <w:tcBorders>
              <w:top w:val="single" w:sz="5" w:space="0" w:color="005B52"/>
              <w:left w:val="single" w:sz="5" w:space="0" w:color="005B52"/>
              <w:bottom w:val="single" w:sz="5" w:space="0" w:color="005B52"/>
              <w:right w:val="single" w:sz="5" w:space="0" w:color="005B52"/>
            </w:tcBorders>
            <w:tcMar>
              <w:top w:w="60" w:type="dxa"/>
              <w:left w:w="100" w:type="dxa"/>
              <w:bottom w:w="60" w:type="dxa"/>
              <w:right w:w="100" w:type="dxa"/>
            </w:tcMar>
          </w:tcPr>
          <w:p w14:paraId="00000474" w14:textId="77777777" w:rsidR="00031725" w:rsidRDefault="00000000">
            <w:pPr>
              <w:spacing w:after="0"/>
              <w:rPr>
                <w:sz w:val="16"/>
                <w:szCs w:val="16"/>
              </w:rPr>
            </w:pPr>
            <w:r>
              <w:rPr>
                <w:sz w:val="16"/>
                <w:szCs w:val="16"/>
              </w:rPr>
              <w:t>How should system-level research data exchange and reuse across institutional boundaries be supported, beyond metadata format alignment (R6)?</w:t>
            </w:r>
          </w:p>
        </w:tc>
        <w:tc>
          <w:tcPr>
            <w:tcW w:w="3630" w:type="dxa"/>
            <w:tcBorders>
              <w:top w:val="single" w:sz="5" w:space="0" w:color="005B52"/>
              <w:left w:val="single" w:sz="5" w:space="0" w:color="005B52"/>
              <w:bottom w:val="single" w:sz="5" w:space="0" w:color="005B52"/>
              <w:right w:val="single" w:sz="5" w:space="0" w:color="005B52"/>
            </w:tcBorders>
            <w:tcMar>
              <w:top w:w="60" w:type="dxa"/>
              <w:left w:w="100" w:type="dxa"/>
              <w:bottom w:w="60" w:type="dxa"/>
              <w:right w:w="100" w:type="dxa"/>
            </w:tcMar>
          </w:tcPr>
          <w:p w14:paraId="00000475" w14:textId="77777777" w:rsidR="00031725" w:rsidRDefault="00000000">
            <w:pPr>
              <w:spacing w:after="0"/>
              <w:rPr>
                <w:sz w:val="16"/>
                <w:szCs w:val="16"/>
              </w:rPr>
            </w:pPr>
            <w:r>
              <w:rPr>
                <w:sz w:val="16"/>
                <w:szCs w:val="16"/>
              </w:rPr>
              <w:t>Encompasses authentication, authorisation, data transfer protocols, and institutional data governance agreements. Designing a system-level framework is beyond this Blueprint's scope; a question for future iterations and related infrastructure initiatives.</w:t>
            </w:r>
          </w:p>
        </w:tc>
      </w:tr>
      <w:tr w:rsidR="00031725" w14:paraId="6B550640" w14:textId="77777777">
        <w:trPr>
          <w:trHeight w:val="1215"/>
        </w:trPr>
        <w:tc>
          <w:tcPr>
            <w:tcW w:w="1560" w:type="dxa"/>
            <w:tcBorders>
              <w:top w:val="single" w:sz="5" w:space="0" w:color="005B52"/>
              <w:left w:val="single" w:sz="5" w:space="0" w:color="005B52"/>
              <w:bottom w:val="single" w:sz="5" w:space="0" w:color="005B52"/>
              <w:right w:val="single" w:sz="5" w:space="0" w:color="005B52"/>
            </w:tcBorders>
            <w:tcMar>
              <w:top w:w="60" w:type="dxa"/>
              <w:left w:w="100" w:type="dxa"/>
              <w:bottom w:w="60" w:type="dxa"/>
              <w:right w:w="100" w:type="dxa"/>
            </w:tcMar>
          </w:tcPr>
          <w:p w14:paraId="00000476" w14:textId="77777777" w:rsidR="00031725" w:rsidRDefault="00000000">
            <w:pPr>
              <w:spacing w:after="0"/>
              <w:rPr>
                <w:b/>
                <w:bCs/>
                <w:sz w:val="16"/>
                <w:szCs w:val="16"/>
              </w:rPr>
            </w:pPr>
            <w:r>
              <w:rPr>
                <w:b/>
                <w:bCs/>
                <w:sz w:val="16"/>
                <w:szCs w:val="16"/>
              </w:rPr>
              <w:t>Agent memory and model improvement</w:t>
            </w:r>
          </w:p>
        </w:tc>
        <w:tc>
          <w:tcPr>
            <w:tcW w:w="3165" w:type="dxa"/>
            <w:tcBorders>
              <w:top w:val="single" w:sz="5" w:space="0" w:color="005B52"/>
              <w:left w:val="single" w:sz="5" w:space="0" w:color="005B52"/>
              <w:bottom w:val="single" w:sz="5" w:space="0" w:color="005B52"/>
              <w:right w:val="single" w:sz="5" w:space="0" w:color="005B52"/>
            </w:tcBorders>
            <w:tcMar>
              <w:top w:w="60" w:type="dxa"/>
              <w:left w:w="100" w:type="dxa"/>
              <w:bottom w:w="60" w:type="dxa"/>
              <w:right w:w="100" w:type="dxa"/>
            </w:tcMar>
          </w:tcPr>
          <w:p w14:paraId="00000477" w14:textId="77777777" w:rsidR="00031725" w:rsidRDefault="00000000">
            <w:pPr>
              <w:spacing w:after="0"/>
              <w:rPr>
                <w:sz w:val="16"/>
                <w:szCs w:val="16"/>
              </w:rPr>
            </w:pPr>
            <w:r>
              <w:rPr>
                <w:sz w:val="16"/>
                <w:szCs w:val="16"/>
              </w:rPr>
              <w:t>Should researcher query data be used to improve the underlying AI model over time?</w:t>
            </w:r>
          </w:p>
        </w:tc>
        <w:tc>
          <w:tcPr>
            <w:tcW w:w="3630" w:type="dxa"/>
            <w:tcBorders>
              <w:top w:val="single" w:sz="5" w:space="0" w:color="005B52"/>
              <w:left w:val="single" w:sz="5" w:space="0" w:color="005B52"/>
              <w:bottom w:val="single" w:sz="5" w:space="0" w:color="005B52"/>
              <w:right w:val="single" w:sz="5" w:space="0" w:color="005B52"/>
            </w:tcBorders>
            <w:tcMar>
              <w:top w:w="60" w:type="dxa"/>
              <w:left w:w="100" w:type="dxa"/>
              <w:bottom w:w="60" w:type="dxa"/>
              <w:right w:w="100" w:type="dxa"/>
            </w:tcMar>
          </w:tcPr>
          <w:p w14:paraId="00000478" w14:textId="77777777" w:rsidR="00031725" w:rsidRDefault="00000000">
            <w:pPr>
              <w:spacing w:after="0"/>
              <w:rPr>
                <w:sz w:val="16"/>
                <w:szCs w:val="16"/>
              </w:rPr>
            </w:pPr>
            <w:r>
              <w:rPr>
                <w:sz w:val="16"/>
                <w:szCs w:val="16"/>
              </w:rPr>
              <w:t>Involves a balance between privacy and quality improvement; the answer will vary by institution, jurisdiction, and governance framework. Whatever decision is made must be documented, communicated to users, and reviewed periodically.</w:t>
            </w:r>
          </w:p>
        </w:tc>
      </w:tr>
      <w:tr w:rsidR="007E4ECD" w14:paraId="0EAA288F" w14:textId="77777777">
        <w:trPr>
          <w:trHeight w:val="1215"/>
        </w:trPr>
        <w:tc>
          <w:tcPr>
            <w:tcW w:w="1560" w:type="dxa"/>
            <w:tcBorders>
              <w:top w:val="single" w:sz="5" w:space="0" w:color="005B52"/>
              <w:left w:val="single" w:sz="5" w:space="0" w:color="005B52"/>
              <w:bottom w:val="single" w:sz="5" w:space="0" w:color="005B52"/>
              <w:right w:val="single" w:sz="5" w:space="0" w:color="005B52"/>
            </w:tcBorders>
            <w:tcMar>
              <w:top w:w="60" w:type="dxa"/>
              <w:left w:w="100" w:type="dxa"/>
              <w:bottom w:w="60" w:type="dxa"/>
              <w:right w:w="100" w:type="dxa"/>
            </w:tcMar>
          </w:tcPr>
          <w:p w14:paraId="48E98DB1" w14:textId="50B91A70" w:rsidR="007E4ECD" w:rsidRDefault="007E4ECD">
            <w:pPr>
              <w:spacing w:after="0"/>
              <w:rPr>
                <w:b/>
                <w:bCs/>
                <w:sz w:val="16"/>
                <w:szCs w:val="16"/>
              </w:rPr>
            </w:pPr>
            <w:r>
              <w:rPr>
                <w:b/>
                <w:bCs/>
                <w:sz w:val="16"/>
                <w:szCs w:val="16"/>
              </w:rPr>
              <w:t>Scope and data types</w:t>
            </w:r>
          </w:p>
        </w:tc>
        <w:tc>
          <w:tcPr>
            <w:tcW w:w="3165" w:type="dxa"/>
            <w:tcBorders>
              <w:top w:val="single" w:sz="5" w:space="0" w:color="005B52"/>
              <w:left w:val="single" w:sz="5" w:space="0" w:color="005B52"/>
              <w:bottom w:val="single" w:sz="5" w:space="0" w:color="005B52"/>
              <w:right w:val="single" w:sz="5" w:space="0" w:color="005B52"/>
            </w:tcBorders>
            <w:tcMar>
              <w:top w:w="60" w:type="dxa"/>
              <w:left w:w="100" w:type="dxa"/>
              <w:bottom w:w="60" w:type="dxa"/>
              <w:right w:w="100" w:type="dxa"/>
            </w:tcMar>
          </w:tcPr>
          <w:p w14:paraId="42EDAAAC" w14:textId="6541F0BD" w:rsidR="007E4ECD" w:rsidRPr="007E4ECD" w:rsidRDefault="007E4ECD" w:rsidP="007E4ECD">
            <w:pPr>
              <w:rPr>
                <w:sz w:val="16"/>
                <w:szCs w:val="16"/>
              </w:rPr>
            </w:pPr>
            <w:r w:rsidRPr="007E4ECD">
              <w:rPr>
                <w:sz w:val="16"/>
                <w:szCs w:val="16"/>
              </w:rPr>
              <w:t>Is the Data Director workflow adaptable to dynamic data</w:t>
            </w:r>
            <w:r>
              <w:rPr>
                <w:sz w:val="16"/>
                <w:szCs w:val="16"/>
              </w:rPr>
              <w:t xml:space="preserve">; </w:t>
            </w:r>
            <w:r w:rsidRPr="007E4ECD">
              <w:rPr>
                <w:sz w:val="16"/>
                <w:szCs w:val="16"/>
              </w:rPr>
              <w:t>continuously produced, high-volume outputs such as environmental sensor streams or geophysical feeds</w:t>
            </w:r>
            <w:r>
              <w:rPr>
                <w:sz w:val="16"/>
                <w:szCs w:val="16"/>
              </w:rPr>
              <w:t xml:space="preserve">, </w:t>
            </w:r>
            <w:r w:rsidRPr="007E4ECD">
              <w:rPr>
                <w:sz w:val="16"/>
                <w:szCs w:val="16"/>
              </w:rPr>
              <w:t>or does it require adjustment for research infrastructure contexts where data is not static?</w:t>
            </w:r>
          </w:p>
        </w:tc>
        <w:tc>
          <w:tcPr>
            <w:tcW w:w="3630" w:type="dxa"/>
            <w:tcBorders>
              <w:top w:val="single" w:sz="5" w:space="0" w:color="005B52"/>
              <w:left w:val="single" w:sz="5" w:space="0" w:color="005B52"/>
              <w:bottom w:val="single" w:sz="5" w:space="0" w:color="005B52"/>
              <w:right w:val="single" w:sz="5" w:space="0" w:color="005B52"/>
            </w:tcBorders>
            <w:tcMar>
              <w:top w:w="60" w:type="dxa"/>
              <w:left w:w="100" w:type="dxa"/>
              <w:bottom w:w="60" w:type="dxa"/>
              <w:right w:w="100" w:type="dxa"/>
            </w:tcMar>
          </w:tcPr>
          <w:p w14:paraId="32B96D7D" w14:textId="77B06168" w:rsidR="007E4ECD" w:rsidRPr="007E4ECD" w:rsidRDefault="007E4ECD">
            <w:pPr>
              <w:spacing w:after="0"/>
              <w:rPr>
                <w:sz w:val="16"/>
                <w:szCs w:val="16"/>
              </w:rPr>
            </w:pPr>
            <w:r w:rsidRPr="007E4ECD">
              <w:rPr>
                <w:sz w:val="16"/>
                <w:szCs w:val="16"/>
              </w:rPr>
              <w:t>The Blueprint is designed primarily with static datasets in mind. Whether the workflow applies as-is or requires adaptation for dynamic data production environments is an open question for future community consideration.</w:t>
            </w:r>
          </w:p>
        </w:tc>
      </w:tr>
    </w:tbl>
    <w:p w14:paraId="00000479" w14:textId="77777777" w:rsidR="00031725" w:rsidRDefault="00000000">
      <w:pPr>
        <w:pStyle w:val="Heading2"/>
      </w:pPr>
      <w:bookmarkStart w:id="65" w:name="_Toc233654431"/>
      <w:r>
        <w:t>13.2 Roadmap for Future Iterations</w:t>
      </w:r>
      <w:bookmarkEnd w:id="65"/>
    </w:p>
    <w:p w14:paraId="0000047A" w14:textId="77777777" w:rsidR="00031725" w:rsidRDefault="00000000">
      <w:r>
        <w:t>This section sets out items deferred from v0.1, representing areas of strong community interest that are either technically premature, outside the current scope, or dependent on decisions not yet made.</w:t>
      </w:r>
    </w:p>
    <w:p w14:paraId="0000047B" w14:textId="77777777" w:rsidR="00031725" w:rsidRDefault="00000000">
      <w:pPr>
        <w:spacing w:before="200" w:after="80"/>
        <w:rPr>
          <w:b/>
          <w:bCs/>
        </w:rPr>
      </w:pPr>
      <w:r>
        <w:rPr>
          <w:b/>
          <w:bCs/>
        </w:rPr>
        <w:t>Evaluation and quality</w:t>
      </w:r>
    </w:p>
    <w:p w14:paraId="0000047C" w14:textId="77777777" w:rsidR="00031725" w:rsidRDefault="00000000">
      <w:pPr>
        <w:numPr>
          <w:ilvl w:val="0"/>
          <w:numId w:val="34"/>
        </w:numPr>
        <w:spacing w:after="0"/>
      </w:pPr>
      <w:r>
        <w:t>Permit a first-pass review by another AI agent before human review, to manage scale, with the ability for a human reviewer to revert to a prior agent version if unsatisfied.</w:t>
      </w:r>
    </w:p>
    <w:p w14:paraId="0000047D" w14:textId="77777777" w:rsidR="00031725" w:rsidRDefault="00000000">
      <w:pPr>
        <w:numPr>
          <w:ilvl w:val="0"/>
          <w:numId w:val="34"/>
        </w:numPr>
        <w:spacing w:after="60"/>
      </w:pPr>
      <w:r>
        <w:t>Include measurement of hallucination levels in AI-generated metadata as part of quality evaluation under C15, dependent on the state of the art for hallucination detection.</w:t>
      </w:r>
    </w:p>
    <w:p w14:paraId="0000047E" w14:textId="77777777" w:rsidR="00031725" w:rsidRDefault="00000000">
      <w:pPr>
        <w:spacing w:before="200" w:after="80"/>
        <w:rPr>
          <w:b/>
          <w:bCs/>
        </w:rPr>
      </w:pPr>
      <w:r>
        <w:rPr>
          <w:b/>
          <w:bCs/>
        </w:rPr>
        <w:t>Scope and lifecycle</w:t>
      </w:r>
    </w:p>
    <w:p w14:paraId="0000047F" w14:textId="77777777" w:rsidR="00031725" w:rsidRDefault="00000000">
      <w:pPr>
        <w:numPr>
          <w:ilvl w:val="0"/>
          <w:numId w:val="27"/>
        </w:numPr>
        <w:spacing w:before="200" w:after="80"/>
      </w:pPr>
      <w:r>
        <w:t>Engage researchers at the point of data collection and project planning, not only at publication; automating engagement at the point of award was suggested as a way to address this.</w:t>
      </w:r>
    </w:p>
    <w:p w14:paraId="5F9A488F" w14:textId="77777777" w:rsidR="003C5422" w:rsidRDefault="003C5422" w:rsidP="003C5422">
      <w:pPr>
        <w:spacing w:before="200" w:after="80"/>
        <w:ind w:left="360"/>
      </w:pPr>
    </w:p>
    <w:p w14:paraId="00000480" w14:textId="77777777" w:rsidR="00031725" w:rsidRDefault="00000000">
      <w:pPr>
        <w:spacing w:before="200" w:after="80"/>
        <w:rPr>
          <w:b/>
          <w:bCs/>
        </w:rPr>
      </w:pPr>
      <w:r>
        <w:rPr>
          <w:b/>
          <w:bCs/>
        </w:rPr>
        <w:lastRenderedPageBreak/>
        <w:t>Workflow and architecture</w:t>
      </w:r>
    </w:p>
    <w:p w14:paraId="38BE4018" w14:textId="77777777" w:rsidR="006B70CF" w:rsidRDefault="00000000" w:rsidP="007A20A6">
      <w:pPr>
        <w:pStyle w:val="ListParagraph"/>
        <w:numPr>
          <w:ilvl w:val="0"/>
          <w:numId w:val="42"/>
        </w:numPr>
      </w:pPr>
      <w:r>
        <w:t>Add pipeline extensibility as a named architectural principle, enabling optional stages such as anonymisation, format conversion, and compliance checking.</w:t>
      </w:r>
      <w:r w:rsidR="006B70CF">
        <w:t xml:space="preserve"> </w:t>
      </w:r>
    </w:p>
    <w:p w14:paraId="6123A147" w14:textId="539FE919" w:rsidR="00EE6E4D" w:rsidRDefault="00000000" w:rsidP="007A20A6">
      <w:pPr>
        <w:pStyle w:val="ListParagraph"/>
        <w:numPr>
          <w:ilvl w:val="0"/>
          <w:numId w:val="42"/>
        </w:numPr>
      </w:pPr>
      <w:r>
        <w:t xml:space="preserve">Make access procedures interoperable between Data Director instances (per C5), with technical mechanisms to harmonise across a federation of agents, while recognising </w:t>
      </w:r>
      <w:r w:rsidR="006B70CF">
        <w:t xml:space="preserve">that </w:t>
      </w:r>
      <w:r>
        <w:t>access policies (authorisation rules) cannot be identical across organisations.</w:t>
      </w:r>
    </w:p>
    <w:p w14:paraId="63FDFDDC" w14:textId="77777777" w:rsidR="006B70CF" w:rsidRDefault="006B70CF" w:rsidP="007A20A6">
      <w:pPr>
        <w:pStyle w:val="ListParagraph"/>
        <w:numPr>
          <w:ilvl w:val="0"/>
          <w:numId w:val="42"/>
        </w:numPr>
      </w:pPr>
      <w:r>
        <w:t>Extend R12 (Discover related datasets) to include detection of potential duplicate datasets, particularly relevant in large consortia where the same dataset may be deposited more than once by different teams.</w:t>
      </w:r>
    </w:p>
    <w:p w14:paraId="2D062EFC" w14:textId="4E77C644" w:rsidR="00EE6E4D" w:rsidRDefault="00EE6E4D" w:rsidP="007A20A6">
      <w:pPr>
        <w:pStyle w:val="ListParagraph"/>
        <w:numPr>
          <w:ilvl w:val="0"/>
          <w:numId w:val="42"/>
        </w:numPr>
      </w:pPr>
      <w:r>
        <w:t>Consider whether the linking of datasets to related research outputs via R11 could be extended to surface technology transfer pathways; routes through which research outputs may have commercial, industrial or societal application beyond the original research context, noting that identifying such pathways should remain a conclusion the researcher draws from seeing related outputs, rather than an explicit suggestion made by the tool.</w:t>
      </w:r>
    </w:p>
    <w:p w14:paraId="00000483" w14:textId="77777777" w:rsidR="00031725" w:rsidRDefault="00000000">
      <w:pPr>
        <w:spacing w:before="200" w:after="80"/>
        <w:rPr>
          <w:b/>
          <w:bCs/>
        </w:rPr>
      </w:pPr>
      <w:r>
        <w:rPr>
          <w:b/>
          <w:bCs/>
        </w:rPr>
        <w:t>Sovereignty and data residency</w:t>
      </w:r>
    </w:p>
    <w:p w14:paraId="39CC3BE0" w14:textId="54E9F6D9" w:rsidR="00ED1E3F" w:rsidRPr="003C5422" w:rsidRDefault="00000000" w:rsidP="003C5422">
      <w:pPr>
        <w:numPr>
          <w:ilvl w:val="0"/>
          <w:numId w:val="33"/>
        </w:numPr>
        <w:spacing w:after="60"/>
      </w:pPr>
      <w:r>
        <w:t>Clarify how data sovereignty should be enforced in practice when AI processing, logs, temporary files, and backups may involve external services or cross-border infrastructure, with national research agencies involved in RDA potentially solicited for input.</w:t>
      </w:r>
    </w:p>
    <w:p w14:paraId="00000485" w14:textId="2B997939" w:rsidR="00031725" w:rsidRDefault="00000000">
      <w:pPr>
        <w:spacing w:before="200" w:after="80"/>
        <w:rPr>
          <w:b/>
          <w:bCs/>
        </w:rPr>
      </w:pPr>
      <w:r>
        <w:rPr>
          <w:b/>
          <w:bCs/>
        </w:rPr>
        <w:t>Accessibility and language</w:t>
      </w:r>
    </w:p>
    <w:p w14:paraId="00000486" w14:textId="258A13CE" w:rsidR="00031725" w:rsidRDefault="00000000">
      <w:pPr>
        <w:numPr>
          <w:ilvl w:val="0"/>
          <w:numId w:val="6"/>
        </w:numPr>
        <w:spacing w:before="200" w:after="80"/>
      </w:pPr>
      <w:r>
        <w:t>Support multilingual metadata records (C6</w:t>
      </w:r>
      <w:r w:rsidR="003C5422">
        <w:t>) and</w:t>
      </w:r>
      <w:r>
        <w:t xml:space="preserve"> define how the tool should handle datasets containing multiple languages. One view is to leave this as a configurable, agentic capability rather than a default requirement, important for inclusivity. Open questions include the effect on performance, minimum language coverage, and whether outputs should default to an English-language version alongside others.</w:t>
      </w:r>
    </w:p>
    <w:p w14:paraId="00000487" w14:textId="77777777" w:rsidR="00031725" w:rsidRDefault="00000000">
      <w:pPr>
        <w:spacing w:before="200" w:after="80"/>
        <w:rPr>
          <w:b/>
          <w:bCs/>
        </w:rPr>
      </w:pPr>
      <w:r>
        <w:rPr>
          <w:b/>
          <w:bCs/>
        </w:rPr>
        <w:t>Naming and terminology</w:t>
      </w:r>
    </w:p>
    <w:p w14:paraId="00000488" w14:textId="77777777" w:rsidR="00031725" w:rsidRDefault="00000000">
      <w:pPr>
        <w:numPr>
          <w:ilvl w:val="0"/>
          <w:numId w:val="35"/>
        </w:numPr>
        <w:spacing w:after="0"/>
      </w:pPr>
      <w:r>
        <w:t>Review whether the name ‘Data Director’ risks implying the tool directs, authorises, or takes responsibility for decisions. Possible alternatives considered include Research Data Assistant, Data Concierge, Data Curator, and Data Curator Agentic AI, with a suggestion that adding ‘agent’ to the name could help convey its role without further explanation.</w:t>
      </w:r>
    </w:p>
    <w:p w14:paraId="00000489" w14:textId="77777777" w:rsidR="00031725" w:rsidRDefault="00000000">
      <w:pPr>
        <w:numPr>
          <w:ilvl w:val="0"/>
          <w:numId w:val="35"/>
        </w:numPr>
        <w:spacing w:after="60"/>
      </w:pPr>
      <w:r>
        <w:t>Consider replacing the term ‘publication’ throughout with a less ambiguous term such as ‘research output’ or ‘digital research object’, affecting precision throughout the document.</w:t>
      </w:r>
    </w:p>
    <w:p w14:paraId="602838A7" w14:textId="77777777" w:rsidR="00895C8C" w:rsidRDefault="00895C8C" w:rsidP="00895C8C">
      <w:pPr>
        <w:spacing w:after="60"/>
      </w:pPr>
    </w:p>
    <w:p w14:paraId="14F10CA5" w14:textId="77777777" w:rsidR="00895C8C" w:rsidRDefault="00895C8C" w:rsidP="00895C8C">
      <w:pPr>
        <w:spacing w:after="60"/>
      </w:pPr>
    </w:p>
    <w:p w14:paraId="0000048A" w14:textId="77777777" w:rsidR="00031725" w:rsidRDefault="00000000">
      <w:pPr>
        <w:pStyle w:val="Heading1"/>
        <w:pBdr>
          <w:bottom w:val="single" w:sz="4" w:space="4" w:color="005B52"/>
        </w:pBdr>
      </w:pPr>
      <w:bookmarkStart w:id="66" w:name="_Toc233654432"/>
      <w:r>
        <w:lastRenderedPageBreak/>
        <w:t>14. Appendices</w:t>
      </w:r>
      <w:bookmarkEnd w:id="66"/>
    </w:p>
    <w:p w14:paraId="0000048B" w14:textId="77777777" w:rsidR="00031725" w:rsidRDefault="00000000">
      <w:pPr>
        <w:pStyle w:val="Heading2"/>
      </w:pPr>
      <w:bookmarkStart w:id="67" w:name="_Toc233654433"/>
      <w:r>
        <w:t>Appendix A: Glossary of Terms</w:t>
      </w:r>
      <w:bookmarkEnd w:id="67"/>
      <w:r>
        <w:t xml:space="preserve"> </w:t>
      </w:r>
    </w:p>
    <w:p w14:paraId="0000048C" w14:textId="77777777" w:rsidR="00031725" w:rsidRDefault="00000000">
      <w:r>
        <w:t>Terms are listed alphabetically. This glossary covers terminology, acronyms, and external standards used in the Blueprint without an in-text explanation. Sources are provided for each entry and hyperlinked where available. Definitions have been prepared with AI assistance and represent a combination of direct quotations, paraphrases, and working definitions informed by the cited sources. Where precise or authoritative definitions are required, readers are encouraged to consult the cited source directly.</w:t>
      </w:r>
    </w:p>
    <w:tbl>
      <w:tblPr>
        <w:tblStyle w:val="ac"/>
        <w:tblW w:w="91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80"/>
        <w:gridCol w:w="6840"/>
      </w:tblGrid>
      <w:tr w:rsidR="00031725" w14:paraId="37DDB485" w14:textId="77777777">
        <w:trPr>
          <w:trHeight w:val="450"/>
        </w:trPr>
        <w:tc>
          <w:tcPr>
            <w:tcW w:w="2280" w:type="dxa"/>
            <w:tcBorders>
              <w:top w:val="single" w:sz="5" w:space="0" w:color="005B52"/>
              <w:left w:val="single" w:sz="5" w:space="0" w:color="005B52"/>
              <w:bottom w:val="single" w:sz="5" w:space="0" w:color="005B52"/>
              <w:right w:val="single" w:sz="5" w:space="0" w:color="005B52"/>
            </w:tcBorders>
            <w:shd w:val="clear" w:color="auto" w:fill="005B52"/>
            <w:tcMar>
              <w:top w:w="0" w:type="dxa"/>
              <w:left w:w="20" w:type="dxa"/>
              <w:bottom w:w="0" w:type="dxa"/>
              <w:right w:w="20" w:type="dxa"/>
            </w:tcMar>
            <w:vAlign w:val="center"/>
          </w:tcPr>
          <w:p w14:paraId="0000048D" w14:textId="77777777" w:rsidR="00031725" w:rsidRDefault="00000000">
            <w:pPr>
              <w:spacing w:after="0" w:line="240" w:lineRule="auto"/>
              <w:jc w:val="center"/>
              <w:rPr>
                <w:b/>
                <w:bCs/>
                <w:color w:val="FFFFFF"/>
                <w:sz w:val="18"/>
                <w:szCs w:val="18"/>
              </w:rPr>
            </w:pPr>
            <w:r>
              <w:rPr>
                <w:b/>
                <w:bCs/>
                <w:color w:val="FFFFFF"/>
                <w:sz w:val="18"/>
                <w:szCs w:val="18"/>
              </w:rPr>
              <w:t>Term</w:t>
            </w:r>
          </w:p>
        </w:tc>
        <w:tc>
          <w:tcPr>
            <w:tcW w:w="6840" w:type="dxa"/>
            <w:tcBorders>
              <w:top w:val="single" w:sz="5" w:space="0" w:color="005B52"/>
              <w:left w:val="single" w:sz="5" w:space="0" w:color="005B52"/>
              <w:bottom w:val="single" w:sz="5" w:space="0" w:color="005B52"/>
              <w:right w:val="single" w:sz="5" w:space="0" w:color="005B52"/>
            </w:tcBorders>
            <w:shd w:val="clear" w:color="auto" w:fill="005B52"/>
            <w:tcMar>
              <w:top w:w="0" w:type="dxa"/>
              <w:left w:w="20" w:type="dxa"/>
              <w:bottom w:w="0" w:type="dxa"/>
              <w:right w:w="20" w:type="dxa"/>
            </w:tcMar>
            <w:vAlign w:val="center"/>
          </w:tcPr>
          <w:p w14:paraId="0000048E" w14:textId="77777777" w:rsidR="00031725" w:rsidRDefault="00000000">
            <w:pPr>
              <w:spacing w:after="0" w:line="240" w:lineRule="auto"/>
              <w:jc w:val="center"/>
              <w:rPr>
                <w:b/>
                <w:bCs/>
                <w:color w:val="FFFFFF"/>
                <w:sz w:val="18"/>
                <w:szCs w:val="18"/>
              </w:rPr>
            </w:pPr>
            <w:r>
              <w:rPr>
                <w:b/>
                <w:bCs/>
                <w:color w:val="FFFFFF"/>
                <w:sz w:val="18"/>
                <w:szCs w:val="18"/>
              </w:rPr>
              <w:t>Definition (with source)</w:t>
            </w:r>
          </w:p>
        </w:tc>
      </w:tr>
      <w:tr w:rsidR="00031725" w14:paraId="4F63221D" w14:textId="77777777">
        <w:trPr>
          <w:trHeight w:val="990"/>
        </w:trPr>
        <w:tc>
          <w:tcPr>
            <w:tcW w:w="2280" w:type="dxa"/>
            <w:tcBorders>
              <w:top w:val="single" w:sz="5" w:space="0" w:color="005B52"/>
              <w:left w:val="single" w:sz="5" w:space="0" w:color="005B52"/>
              <w:bottom w:val="single" w:sz="5" w:space="0" w:color="005B52"/>
              <w:right w:val="single" w:sz="5" w:space="0" w:color="005B52"/>
            </w:tcBorders>
            <w:shd w:val="clear" w:color="auto" w:fill="EDF7F5"/>
            <w:tcMar>
              <w:top w:w="0" w:type="dxa"/>
              <w:left w:w="20" w:type="dxa"/>
              <w:bottom w:w="0" w:type="dxa"/>
              <w:right w:w="20" w:type="dxa"/>
            </w:tcMar>
            <w:vAlign w:val="center"/>
          </w:tcPr>
          <w:p w14:paraId="0000048F" w14:textId="77777777" w:rsidR="00031725" w:rsidRDefault="00000000">
            <w:pPr>
              <w:spacing w:after="0" w:line="240" w:lineRule="auto"/>
              <w:rPr>
                <w:b/>
                <w:bCs/>
                <w:sz w:val="18"/>
                <w:szCs w:val="18"/>
              </w:rPr>
            </w:pPr>
            <w:r>
              <w:rPr>
                <w:b/>
                <w:bCs/>
                <w:sz w:val="18"/>
                <w:szCs w:val="18"/>
              </w:rPr>
              <w:t>Anonymisation and Pseudonymisation</w:t>
            </w:r>
          </w:p>
        </w:tc>
        <w:tc>
          <w:tcPr>
            <w:tcW w:w="6840" w:type="dxa"/>
            <w:tcBorders>
              <w:top w:val="single" w:sz="5" w:space="0" w:color="005B52"/>
              <w:left w:val="single" w:sz="5" w:space="0" w:color="005B52"/>
              <w:bottom w:val="single" w:sz="5" w:space="0" w:color="005B52"/>
              <w:right w:val="single" w:sz="5" w:space="0" w:color="005B52"/>
            </w:tcBorders>
            <w:tcMar>
              <w:top w:w="0" w:type="dxa"/>
              <w:left w:w="20" w:type="dxa"/>
              <w:bottom w:w="0" w:type="dxa"/>
              <w:right w:w="20" w:type="dxa"/>
            </w:tcMar>
            <w:vAlign w:val="center"/>
          </w:tcPr>
          <w:p w14:paraId="00000490" w14:textId="77777777" w:rsidR="00031725" w:rsidRDefault="00000000">
            <w:pPr>
              <w:spacing w:after="0" w:line="240" w:lineRule="auto"/>
              <w:rPr>
                <w:sz w:val="18"/>
                <w:szCs w:val="18"/>
              </w:rPr>
            </w:pPr>
            <w:r>
              <w:rPr>
                <w:sz w:val="18"/>
                <w:szCs w:val="18"/>
              </w:rPr>
              <w:t xml:space="preserve">Anonymisation removes or alters personal data so that individuals can no longer be identified, even indirectly. Pseudonymisation replaces identifying details with artificial identifiers, so that re-identification remains possible only with additional information held separately and securely. (Source: </w:t>
            </w:r>
            <w:hyperlink r:id="rId96">
              <w:r w:rsidR="00031725">
                <w:rPr>
                  <w:color w:val="1155CC"/>
                  <w:sz w:val="18"/>
                  <w:szCs w:val="18"/>
                  <w:u w:val="single"/>
                </w:rPr>
                <w:t>Information Commissioner's Office</w:t>
              </w:r>
            </w:hyperlink>
            <w:r>
              <w:rPr>
                <w:sz w:val="18"/>
                <w:szCs w:val="18"/>
              </w:rPr>
              <w:t>)</w:t>
            </w:r>
          </w:p>
        </w:tc>
      </w:tr>
      <w:tr w:rsidR="00031725" w14:paraId="29209D89" w14:textId="77777777">
        <w:trPr>
          <w:trHeight w:val="780"/>
        </w:trPr>
        <w:tc>
          <w:tcPr>
            <w:tcW w:w="2280" w:type="dxa"/>
            <w:tcBorders>
              <w:top w:val="single" w:sz="5" w:space="0" w:color="005B52"/>
              <w:left w:val="single" w:sz="5" w:space="0" w:color="005B52"/>
              <w:bottom w:val="single" w:sz="5" w:space="0" w:color="005B52"/>
              <w:right w:val="single" w:sz="5" w:space="0" w:color="005B52"/>
            </w:tcBorders>
            <w:shd w:val="clear" w:color="auto" w:fill="EDF7F5"/>
            <w:tcMar>
              <w:top w:w="0" w:type="dxa"/>
              <w:left w:w="20" w:type="dxa"/>
              <w:bottom w:w="0" w:type="dxa"/>
              <w:right w:w="20" w:type="dxa"/>
            </w:tcMar>
            <w:vAlign w:val="center"/>
          </w:tcPr>
          <w:p w14:paraId="00000491" w14:textId="77777777" w:rsidR="00031725" w:rsidRDefault="00000000">
            <w:pPr>
              <w:spacing w:after="0" w:line="240" w:lineRule="auto"/>
              <w:rPr>
                <w:b/>
                <w:bCs/>
                <w:sz w:val="18"/>
                <w:szCs w:val="18"/>
              </w:rPr>
            </w:pPr>
            <w:r>
              <w:rPr>
                <w:b/>
                <w:bCs/>
                <w:sz w:val="18"/>
                <w:szCs w:val="18"/>
              </w:rPr>
              <w:t>API (Application Programming Interface)</w:t>
            </w:r>
          </w:p>
        </w:tc>
        <w:tc>
          <w:tcPr>
            <w:tcW w:w="6840" w:type="dxa"/>
            <w:tcBorders>
              <w:top w:val="single" w:sz="5" w:space="0" w:color="005B52"/>
              <w:left w:val="single" w:sz="5" w:space="0" w:color="005B52"/>
              <w:bottom w:val="single" w:sz="5" w:space="0" w:color="005B52"/>
              <w:right w:val="single" w:sz="5" w:space="0" w:color="005B52"/>
            </w:tcBorders>
            <w:tcMar>
              <w:top w:w="0" w:type="dxa"/>
              <w:left w:w="20" w:type="dxa"/>
              <w:bottom w:w="0" w:type="dxa"/>
              <w:right w:w="20" w:type="dxa"/>
            </w:tcMar>
            <w:vAlign w:val="center"/>
          </w:tcPr>
          <w:p w14:paraId="00000492" w14:textId="77777777" w:rsidR="00031725" w:rsidRDefault="00000000">
            <w:pPr>
              <w:spacing w:after="0" w:line="240" w:lineRule="auto"/>
              <w:rPr>
                <w:sz w:val="18"/>
                <w:szCs w:val="18"/>
              </w:rPr>
            </w:pPr>
            <w:r>
              <w:rPr>
                <w:sz w:val="18"/>
                <w:szCs w:val="18"/>
              </w:rPr>
              <w:t xml:space="preserve">A defined set of rules and protocols that allows different software systems to communicate with one another, for example, enabling the Data Director to exchange information with a repository, registry or identifier service. (Source: </w:t>
            </w:r>
            <w:hyperlink r:id="rId97">
              <w:r w:rsidR="00031725">
                <w:rPr>
                  <w:color w:val="1155CC"/>
                  <w:sz w:val="18"/>
                  <w:szCs w:val="18"/>
                  <w:u w:val="single"/>
                </w:rPr>
                <w:t>MDN Web Docs</w:t>
              </w:r>
            </w:hyperlink>
            <w:r>
              <w:rPr>
                <w:sz w:val="18"/>
                <w:szCs w:val="18"/>
              </w:rPr>
              <w:t>)</w:t>
            </w:r>
          </w:p>
        </w:tc>
      </w:tr>
      <w:tr w:rsidR="00031725" w14:paraId="634852EE" w14:textId="77777777">
        <w:trPr>
          <w:trHeight w:val="1395"/>
        </w:trPr>
        <w:tc>
          <w:tcPr>
            <w:tcW w:w="2280" w:type="dxa"/>
            <w:tcBorders>
              <w:top w:val="single" w:sz="5" w:space="0" w:color="005B52"/>
              <w:left w:val="single" w:sz="5" w:space="0" w:color="005B52"/>
              <w:bottom w:val="single" w:sz="5" w:space="0" w:color="005B52"/>
              <w:right w:val="single" w:sz="5" w:space="0" w:color="005B52"/>
            </w:tcBorders>
            <w:shd w:val="clear" w:color="auto" w:fill="EDF7F5"/>
            <w:tcMar>
              <w:top w:w="0" w:type="dxa"/>
              <w:left w:w="20" w:type="dxa"/>
              <w:bottom w:w="0" w:type="dxa"/>
              <w:right w:w="20" w:type="dxa"/>
            </w:tcMar>
            <w:vAlign w:val="center"/>
          </w:tcPr>
          <w:p w14:paraId="00000493" w14:textId="77777777" w:rsidR="00031725" w:rsidRDefault="00000000">
            <w:pPr>
              <w:spacing w:after="0" w:line="240" w:lineRule="auto"/>
              <w:rPr>
                <w:b/>
                <w:bCs/>
                <w:sz w:val="18"/>
                <w:szCs w:val="18"/>
              </w:rPr>
            </w:pPr>
            <w:r>
              <w:rPr>
                <w:b/>
                <w:bCs/>
                <w:sz w:val="18"/>
                <w:szCs w:val="18"/>
              </w:rPr>
              <w:t>CARE Principles</w:t>
            </w:r>
          </w:p>
        </w:tc>
        <w:tc>
          <w:tcPr>
            <w:tcW w:w="6840" w:type="dxa"/>
            <w:tcBorders>
              <w:top w:val="single" w:sz="5" w:space="0" w:color="005B52"/>
              <w:left w:val="single" w:sz="5" w:space="0" w:color="005B52"/>
              <w:bottom w:val="single" w:sz="5" w:space="0" w:color="005B52"/>
              <w:right w:val="single" w:sz="5" w:space="0" w:color="005B52"/>
            </w:tcBorders>
            <w:tcMar>
              <w:top w:w="0" w:type="dxa"/>
              <w:left w:w="20" w:type="dxa"/>
              <w:bottom w:w="0" w:type="dxa"/>
              <w:right w:w="20" w:type="dxa"/>
            </w:tcMar>
            <w:vAlign w:val="center"/>
          </w:tcPr>
          <w:p w14:paraId="00000494" w14:textId="77777777" w:rsidR="00031725" w:rsidRDefault="00000000">
            <w:pPr>
              <w:spacing w:after="0" w:line="240" w:lineRule="auto"/>
              <w:rPr>
                <w:sz w:val="18"/>
                <w:szCs w:val="18"/>
              </w:rPr>
            </w:pPr>
            <w:r>
              <w:rPr>
                <w:sz w:val="18"/>
                <w:szCs w:val="18"/>
              </w:rPr>
              <w:t>Collective Benefit, Authority to Control, Responsibility and Ethics: principles developed to ensure Indigenous Peoples retain control over how data about their communities, lands and knowledge is collected, used and shared, complementing the FAIR principles. (Source: Carroll, S.R. et al. (2020). The CARE Principles for Indigenous Data Governance. Data Science Journal, 19(1), p.43.</w:t>
            </w:r>
            <w:hyperlink r:id="rId98">
              <w:r w:rsidR="00031725">
                <w:rPr>
                  <w:color w:val="1155CC"/>
                  <w:sz w:val="18"/>
                  <w:szCs w:val="18"/>
                  <w:u w:val="single"/>
                </w:rPr>
                <w:t xml:space="preserve"> https://doi.org/10.5334/dsj-2020-043</w:t>
              </w:r>
            </w:hyperlink>
            <w:r>
              <w:rPr>
                <w:sz w:val="18"/>
                <w:szCs w:val="18"/>
              </w:rPr>
              <w:t>)</w:t>
            </w:r>
          </w:p>
        </w:tc>
      </w:tr>
      <w:tr w:rsidR="00031725" w14:paraId="68A25D35" w14:textId="77777777">
        <w:trPr>
          <w:trHeight w:val="780"/>
        </w:trPr>
        <w:tc>
          <w:tcPr>
            <w:tcW w:w="2280" w:type="dxa"/>
            <w:tcBorders>
              <w:top w:val="single" w:sz="5" w:space="0" w:color="005B52"/>
              <w:left w:val="single" w:sz="5" w:space="0" w:color="005B52"/>
              <w:bottom w:val="single" w:sz="5" w:space="0" w:color="005B52"/>
              <w:right w:val="single" w:sz="5" w:space="0" w:color="005B52"/>
            </w:tcBorders>
            <w:shd w:val="clear" w:color="auto" w:fill="EDF7F5"/>
            <w:tcMar>
              <w:top w:w="0" w:type="dxa"/>
              <w:left w:w="20" w:type="dxa"/>
              <w:bottom w:w="0" w:type="dxa"/>
              <w:right w:w="20" w:type="dxa"/>
            </w:tcMar>
            <w:vAlign w:val="center"/>
          </w:tcPr>
          <w:p w14:paraId="00000495" w14:textId="77777777" w:rsidR="00031725" w:rsidRDefault="00000000">
            <w:pPr>
              <w:spacing w:after="0" w:line="240" w:lineRule="auto"/>
              <w:rPr>
                <w:b/>
                <w:bCs/>
                <w:sz w:val="18"/>
                <w:szCs w:val="18"/>
              </w:rPr>
            </w:pPr>
            <w:r>
              <w:rPr>
                <w:b/>
                <w:bCs/>
                <w:sz w:val="18"/>
                <w:szCs w:val="18"/>
              </w:rPr>
              <w:t>CRediT (Contributor Roles Taxonomy)</w:t>
            </w:r>
          </w:p>
        </w:tc>
        <w:tc>
          <w:tcPr>
            <w:tcW w:w="6840" w:type="dxa"/>
            <w:tcBorders>
              <w:top w:val="single" w:sz="5" w:space="0" w:color="005B52"/>
              <w:left w:val="single" w:sz="5" w:space="0" w:color="005B52"/>
              <w:bottom w:val="single" w:sz="5" w:space="0" w:color="005B52"/>
              <w:right w:val="single" w:sz="5" w:space="0" w:color="005B52"/>
            </w:tcBorders>
            <w:tcMar>
              <w:top w:w="0" w:type="dxa"/>
              <w:left w:w="20" w:type="dxa"/>
              <w:bottom w:w="0" w:type="dxa"/>
              <w:right w:w="20" w:type="dxa"/>
            </w:tcMar>
            <w:vAlign w:val="center"/>
          </w:tcPr>
          <w:p w14:paraId="00000496" w14:textId="77777777" w:rsidR="00031725" w:rsidRDefault="00000000">
            <w:pPr>
              <w:spacing w:after="0" w:line="240" w:lineRule="auto"/>
              <w:rPr>
                <w:sz w:val="18"/>
                <w:szCs w:val="18"/>
              </w:rPr>
            </w:pPr>
            <w:r>
              <w:rPr>
                <w:sz w:val="18"/>
                <w:szCs w:val="18"/>
              </w:rPr>
              <w:t xml:space="preserve">A standardised taxonomy of contributor roles used to describe the specific nature of each person's contribution to a research output. Referenced as the basis for recording human roles in provenance records. (Source: </w:t>
            </w:r>
            <w:hyperlink r:id="rId99">
              <w:r w:rsidR="00031725">
                <w:rPr>
                  <w:color w:val="1155CC"/>
                  <w:sz w:val="18"/>
                  <w:szCs w:val="18"/>
                  <w:u w:val="single"/>
                </w:rPr>
                <w:t>CRediT</w:t>
              </w:r>
            </w:hyperlink>
            <w:r>
              <w:rPr>
                <w:sz w:val="18"/>
                <w:szCs w:val="18"/>
              </w:rPr>
              <w:t>)</w:t>
            </w:r>
          </w:p>
        </w:tc>
      </w:tr>
      <w:tr w:rsidR="00031725" w14:paraId="37DEB7E9" w14:textId="77777777">
        <w:trPr>
          <w:trHeight w:val="585"/>
        </w:trPr>
        <w:tc>
          <w:tcPr>
            <w:tcW w:w="2280" w:type="dxa"/>
            <w:tcBorders>
              <w:top w:val="single" w:sz="5" w:space="0" w:color="005B52"/>
              <w:left w:val="single" w:sz="5" w:space="0" w:color="005B52"/>
              <w:bottom w:val="single" w:sz="5" w:space="0" w:color="005B52"/>
              <w:right w:val="single" w:sz="5" w:space="0" w:color="005B52"/>
            </w:tcBorders>
            <w:shd w:val="clear" w:color="auto" w:fill="EDF7F5"/>
            <w:tcMar>
              <w:top w:w="0" w:type="dxa"/>
              <w:left w:w="20" w:type="dxa"/>
              <w:bottom w:w="0" w:type="dxa"/>
              <w:right w:w="20" w:type="dxa"/>
            </w:tcMar>
            <w:vAlign w:val="center"/>
          </w:tcPr>
          <w:p w14:paraId="00000497" w14:textId="77777777" w:rsidR="00031725" w:rsidRDefault="00000000">
            <w:pPr>
              <w:spacing w:after="0" w:line="240" w:lineRule="auto"/>
              <w:rPr>
                <w:b/>
                <w:bCs/>
                <w:sz w:val="18"/>
                <w:szCs w:val="18"/>
              </w:rPr>
            </w:pPr>
            <w:r>
              <w:rPr>
                <w:b/>
                <w:bCs/>
                <w:sz w:val="18"/>
                <w:szCs w:val="18"/>
              </w:rPr>
              <w:t>CRIS (Current Research Information System)</w:t>
            </w:r>
          </w:p>
        </w:tc>
        <w:tc>
          <w:tcPr>
            <w:tcW w:w="6840" w:type="dxa"/>
            <w:tcBorders>
              <w:top w:val="single" w:sz="5" w:space="0" w:color="005B52"/>
              <w:left w:val="single" w:sz="5" w:space="0" w:color="005B52"/>
              <w:bottom w:val="single" w:sz="5" w:space="0" w:color="005B52"/>
              <w:right w:val="single" w:sz="5" w:space="0" w:color="005B52"/>
            </w:tcBorders>
            <w:tcMar>
              <w:top w:w="0" w:type="dxa"/>
              <w:left w:w="20" w:type="dxa"/>
              <w:bottom w:w="0" w:type="dxa"/>
              <w:right w:w="20" w:type="dxa"/>
            </w:tcMar>
            <w:vAlign w:val="center"/>
          </w:tcPr>
          <w:p w14:paraId="00000498" w14:textId="77777777" w:rsidR="00031725" w:rsidRDefault="00000000">
            <w:pPr>
              <w:spacing w:after="0" w:line="240" w:lineRule="auto"/>
              <w:rPr>
                <w:sz w:val="18"/>
                <w:szCs w:val="18"/>
              </w:rPr>
            </w:pPr>
            <w:r>
              <w:rPr>
                <w:sz w:val="18"/>
                <w:szCs w:val="18"/>
              </w:rPr>
              <w:t xml:space="preserve">An institutional database system used to capture, manage and report on information about research activity, outputs, funding and personnel. (Source: </w:t>
            </w:r>
            <w:hyperlink r:id="rId100">
              <w:r w:rsidR="00031725">
                <w:rPr>
                  <w:color w:val="1155CC"/>
                  <w:sz w:val="18"/>
                  <w:szCs w:val="18"/>
                  <w:u w:val="single"/>
                </w:rPr>
                <w:t>euroCRIS</w:t>
              </w:r>
            </w:hyperlink>
            <w:r>
              <w:rPr>
                <w:sz w:val="18"/>
                <w:szCs w:val="18"/>
              </w:rPr>
              <w:t>)</w:t>
            </w:r>
          </w:p>
        </w:tc>
      </w:tr>
      <w:tr w:rsidR="00031725" w14:paraId="76423092" w14:textId="77777777">
        <w:trPr>
          <w:trHeight w:val="780"/>
        </w:trPr>
        <w:tc>
          <w:tcPr>
            <w:tcW w:w="2280" w:type="dxa"/>
            <w:tcBorders>
              <w:top w:val="single" w:sz="5" w:space="0" w:color="005B52"/>
              <w:left w:val="single" w:sz="5" w:space="0" w:color="005B52"/>
              <w:bottom w:val="single" w:sz="5" w:space="0" w:color="005B52"/>
              <w:right w:val="single" w:sz="5" w:space="0" w:color="005B52"/>
            </w:tcBorders>
            <w:shd w:val="clear" w:color="auto" w:fill="EDF7F5"/>
            <w:tcMar>
              <w:top w:w="0" w:type="dxa"/>
              <w:left w:w="20" w:type="dxa"/>
              <w:bottom w:w="0" w:type="dxa"/>
              <w:right w:w="20" w:type="dxa"/>
            </w:tcMar>
            <w:vAlign w:val="center"/>
          </w:tcPr>
          <w:p w14:paraId="00000499" w14:textId="77777777" w:rsidR="00031725" w:rsidRDefault="00000000">
            <w:pPr>
              <w:spacing w:after="0" w:line="240" w:lineRule="auto"/>
              <w:rPr>
                <w:b/>
                <w:bCs/>
                <w:sz w:val="18"/>
                <w:szCs w:val="18"/>
              </w:rPr>
            </w:pPr>
            <w:r>
              <w:rPr>
                <w:b/>
                <w:bCs/>
                <w:sz w:val="18"/>
                <w:szCs w:val="18"/>
              </w:rPr>
              <w:t>Crosswalk</w:t>
            </w:r>
          </w:p>
        </w:tc>
        <w:tc>
          <w:tcPr>
            <w:tcW w:w="6840" w:type="dxa"/>
            <w:tcBorders>
              <w:top w:val="single" w:sz="5" w:space="0" w:color="005B52"/>
              <w:left w:val="single" w:sz="5" w:space="0" w:color="005B52"/>
              <w:bottom w:val="single" w:sz="5" w:space="0" w:color="005B52"/>
              <w:right w:val="single" w:sz="5" w:space="0" w:color="005B52"/>
            </w:tcBorders>
            <w:tcMar>
              <w:top w:w="0" w:type="dxa"/>
              <w:left w:w="20" w:type="dxa"/>
              <w:bottom w:w="0" w:type="dxa"/>
              <w:right w:w="20" w:type="dxa"/>
            </w:tcMar>
            <w:vAlign w:val="center"/>
          </w:tcPr>
          <w:p w14:paraId="0000049A" w14:textId="77777777" w:rsidR="00031725" w:rsidRDefault="00000000">
            <w:pPr>
              <w:spacing w:after="0" w:line="240" w:lineRule="auto"/>
              <w:rPr>
                <w:sz w:val="18"/>
                <w:szCs w:val="18"/>
              </w:rPr>
            </w:pPr>
            <w:r>
              <w:rPr>
                <w:sz w:val="18"/>
                <w:szCs w:val="18"/>
              </w:rPr>
              <w:t xml:space="preserve">A mapping that shows how fields, terms or elements in one metadata schema correspond to equivalent fields in another, enabling records created for one system to be understood and reused in another. (Source: </w:t>
            </w:r>
            <w:hyperlink r:id="rId101">
              <w:r w:rsidR="00031725">
                <w:rPr>
                  <w:color w:val="1155CC"/>
                  <w:sz w:val="18"/>
                  <w:szCs w:val="18"/>
                  <w:u w:val="single"/>
                </w:rPr>
                <w:t>Library of Congress</w:t>
              </w:r>
            </w:hyperlink>
            <w:r>
              <w:rPr>
                <w:sz w:val="18"/>
                <w:szCs w:val="18"/>
              </w:rPr>
              <w:t>)</w:t>
            </w:r>
          </w:p>
        </w:tc>
      </w:tr>
      <w:tr w:rsidR="00031725" w14:paraId="644E4374" w14:textId="77777777">
        <w:trPr>
          <w:trHeight w:val="780"/>
        </w:trPr>
        <w:tc>
          <w:tcPr>
            <w:tcW w:w="2280" w:type="dxa"/>
            <w:tcBorders>
              <w:top w:val="single" w:sz="5" w:space="0" w:color="005B52"/>
              <w:left w:val="single" w:sz="5" w:space="0" w:color="005B52"/>
              <w:bottom w:val="single" w:sz="5" w:space="0" w:color="005B52"/>
              <w:right w:val="single" w:sz="5" w:space="0" w:color="005B52"/>
            </w:tcBorders>
            <w:shd w:val="clear" w:color="auto" w:fill="EDF7F5"/>
            <w:tcMar>
              <w:top w:w="0" w:type="dxa"/>
              <w:left w:w="20" w:type="dxa"/>
              <w:bottom w:w="0" w:type="dxa"/>
              <w:right w:w="20" w:type="dxa"/>
            </w:tcMar>
            <w:vAlign w:val="center"/>
          </w:tcPr>
          <w:p w14:paraId="0000049B" w14:textId="77777777" w:rsidR="00031725" w:rsidRDefault="00000000">
            <w:pPr>
              <w:spacing w:after="0" w:line="240" w:lineRule="auto"/>
              <w:rPr>
                <w:b/>
                <w:bCs/>
                <w:sz w:val="18"/>
                <w:szCs w:val="18"/>
              </w:rPr>
            </w:pPr>
            <w:r>
              <w:rPr>
                <w:b/>
                <w:bCs/>
                <w:sz w:val="18"/>
                <w:szCs w:val="18"/>
              </w:rPr>
              <w:t>Data Dictionary</w:t>
            </w:r>
          </w:p>
        </w:tc>
        <w:tc>
          <w:tcPr>
            <w:tcW w:w="6840" w:type="dxa"/>
            <w:tcBorders>
              <w:top w:val="single" w:sz="5" w:space="0" w:color="005B52"/>
              <w:left w:val="single" w:sz="5" w:space="0" w:color="005B52"/>
              <w:bottom w:val="single" w:sz="5" w:space="0" w:color="005B52"/>
              <w:right w:val="single" w:sz="5" w:space="0" w:color="005B52"/>
            </w:tcBorders>
            <w:tcMar>
              <w:top w:w="0" w:type="dxa"/>
              <w:left w:w="20" w:type="dxa"/>
              <w:bottom w:w="0" w:type="dxa"/>
              <w:right w:w="20" w:type="dxa"/>
            </w:tcMar>
            <w:vAlign w:val="center"/>
          </w:tcPr>
          <w:p w14:paraId="0000049C" w14:textId="77777777" w:rsidR="00031725" w:rsidRDefault="00000000">
            <w:pPr>
              <w:spacing w:after="0" w:line="240" w:lineRule="auto"/>
              <w:rPr>
                <w:sz w:val="18"/>
                <w:szCs w:val="18"/>
              </w:rPr>
            </w:pPr>
            <w:r>
              <w:rPr>
                <w:sz w:val="18"/>
                <w:szCs w:val="18"/>
              </w:rPr>
              <w:t xml:space="preserve">A document that lists and describes the variables, fields and codes used in a dataset, including their definitions, units and permitted values, helping others understand and reuse the data. (Source: </w:t>
            </w:r>
            <w:hyperlink r:id="rId102">
              <w:r w:rsidR="00031725">
                <w:rPr>
                  <w:color w:val="1155CC"/>
                  <w:sz w:val="18"/>
                  <w:szCs w:val="18"/>
                  <w:u w:val="single"/>
                </w:rPr>
                <w:t>The Turing Way</w:t>
              </w:r>
            </w:hyperlink>
            <w:r>
              <w:rPr>
                <w:sz w:val="18"/>
                <w:szCs w:val="18"/>
              </w:rPr>
              <w:t>)</w:t>
            </w:r>
          </w:p>
        </w:tc>
      </w:tr>
      <w:tr w:rsidR="00031725" w14:paraId="297EA111" w14:textId="77777777">
        <w:trPr>
          <w:trHeight w:val="1605"/>
        </w:trPr>
        <w:tc>
          <w:tcPr>
            <w:tcW w:w="2280" w:type="dxa"/>
            <w:tcBorders>
              <w:top w:val="single" w:sz="5" w:space="0" w:color="005B52"/>
              <w:left w:val="single" w:sz="5" w:space="0" w:color="005B52"/>
              <w:bottom w:val="single" w:sz="5" w:space="0" w:color="005B52"/>
              <w:right w:val="single" w:sz="5" w:space="0" w:color="005B52"/>
            </w:tcBorders>
            <w:shd w:val="clear" w:color="auto" w:fill="EDF7F5"/>
            <w:tcMar>
              <w:top w:w="0" w:type="dxa"/>
              <w:left w:w="20" w:type="dxa"/>
              <w:bottom w:w="0" w:type="dxa"/>
              <w:right w:w="20" w:type="dxa"/>
            </w:tcMar>
            <w:vAlign w:val="center"/>
          </w:tcPr>
          <w:p w14:paraId="0000049D" w14:textId="77777777" w:rsidR="00031725" w:rsidRDefault="00000000">
            <w:pPr>
              <w:spacing w:after="0" w:line="240" w:lineRule="auto"/>
              <w:rPr>
                <w:b/>
                <w:bCs/>
                <w:sz w:val="18"/>
                <w:szCs w:val="18"/>
              </w:rPr>
            </w:pPr>
            <w:r>
              <w:rPr>
                <w:b/>
                <w:bCs/>
                <w:sz w:val="18"/>
                <w:szCs w:val="18"/>
              </w:rPr>
              <w:t>Deposit (Research Data)</w:t>
            </w:r>
          </w:p>
        </w:tc>
        <w:tc>
          <w:tcPr>
            <w:tcW w:w="6840" w:type="dxa"/>
            <w:tcBorders>
              <w:top w:val="single" w:sz="5" w:space="0" w:color="005B52"/>
              <w:left w:val="single" w:sz="5" w:space="0" w:color="005B52"/>
              <w:bottom w:val="single" w:sz="5" w:space="0" w:color="005B52"/>
              <w:right w:val="single" w:sz="5" w:space="0" w:color="005B52"/>
            </w:tcBorders>
            <w:tcMar>
              <w:top w:w="0" w:type="dxa"/>
              <w:left w:w="20" w:type="dxa"/>
              <w:bottom w:w="0" w:type="dxa"/>
              <w:right w:w="20" w:type="dxa"/>
            </w:tcMar>
            <w:vAlign w:val="center"/>
          </w:tcPr>
          <w:p w14:paraId="0000049E" w14:textId="77777777" w:rsidR="00031725" w:rsidRDefault="00000000">
            <w:pPr>
              <w:spacing w:after="0" w:line="240" w:lineRule="auto"/>
              <w:rPr>
                <w:sz w:val="18"/>
                <w:szCs w:val="18"/>
              </w:rPr>
            </w:pPr>
            <w:r>
              <w:rPr>
                <w:sz w:val="18"/>
                <w:szCs w:val="18"/>
              </w:rPr>
              <w:t xml:space="preserve">The act of submitting a research dataset to a repository for long-term storage, preservation, and access. Distinct from publication in that deposit is the researcher's act of submitting data, while making data publicly available is typically carried out by the repository following the deposit. The Data Director supports researchers in preparing for and completing deposits; it does not itself publish or make data publicly available. (Source: </w:t>
            </w:r>
            <w:hyperlink r:id="rId103">
              <w:r w:rsidR="00031725">
                <w:rPr>
                  <w:color w:val="1155CC"/>
                  <w:sz w:val="18"/>
                  <w:szCs w:val="18"/>
                  <w:u w:val="single"/>
                </w:rPr>
                <w:t>OECD Principles and Guidelines for Access to Research Data from Public Funding</w:t>
              </w:r>
            </w:hyperlink>
            <w:r>
              <w:rPr>
                <w:sz w:val="18"/>
                <w:szCs w:val="18"/>
              </w:rPr>
              <w:t>, 2007; see also</w:t>
            </w:r>
            <w:hyperlink r:id="rId104">
              <w:r w:rsidR="00031725">
                <w:rPr>
                  <w:color w:val="1155CC"/>
                  <w:sz w:val="18"/>
                  <w:szCs w:val="18"/>
                  <w:u w:val="single"/>
                </w:rPr>
                <w:t xml:space="preserve"> COAR Controlled Vocabulary for Resource Type Genres</w:t>
              </w:r>
            </w:hyperlink>
            <w:r>
              <w:rPr>
                <w:sz w:val="18"/>
                <w:szCs w:val="18"/>
              </w:rPr>
              <w:t>)</w:t>
            </w:r>
          </w:p>
        </w:tc>
      </w:tr>
      <w:tr w:rsidR="00031725" w14:paraId="79F5E08A" w14:textId="77777777">
        <w:trPr>
          <w:trHeight w:val="780"/>
        </w:trPr>
        <w:tc>
          <w:tcPr>
            <w:tcW w:w="2280" w:type="dxa"/>
            <w:tcBorders>
              <w:top w:val="single" w:sz="5" w:space="0" w:color="005B52"/>
              <w:left w:val="single" w:sz="5" w:space="0" w:color="005B52"/>
              <w:bottom w:val="single" w:sz="5" w:space="0" w:color="005B52"/>
              <w:right w:val="single" w:sz="5" w:space="0" w:color="005B52"/>
            </w:tcBorders>
            <w:shd w:val="clear" w:color="auto" w:fill="EDF7F5"/>
            <w:tcMar>
              <w:top w:w="0" w:type="dxa"/>
              <w:left w:w="20" w:type="dxa"/>
              <w:bottom w:w="0" w:type="dxa"/>
              <w:right w:w="20" w:type="dxa"/>
            </w:tcMar>
            <w:vAlign w:val="center"/>
          </w:tcPr>
          <w:p w14:paraId="0000049F" w14:textId="77777777" w:rsidR="00031725" w:rsidRDefault="00000000">
            <w:pPr>
              <w:spacing w:after="0" w:line="240" w:lineRule="auto"/>
              <w:rPr>
                <w:b/>
                <w:bCs/>
                <w:sz w:val="18"/>
                <w:szCs w:val="18"/>
              </w:rPr>
            </w:pPr>
            <w:r>
              <w:rPr>
                <w:b/>
                <w:bCs/>
                <w:sz w:val="18"/>
                <w:szCs w:val="18"/>
              </w:rPr>
              <w:t>Digital Object Identifier (DOI)</w:t>
            </w:r>
          </w:p>
        </w:tc>
        <w:tc>
          <w:tcPr>
            <w:tcW w:w="6840" w:type="dxa"/>
            <w:tcBorders>
              <w:top w:val="single" w:sz="5" w:space="0" w:color="005B52"/>
              <w:left w:val="single" w:sz="5" w:space="0" w:color="005B52"/>
              <w:bottom w:val="single" w:sz="5" w:space="0" w:color="005B52"/>
              <w:right w:val="single" w:sz="5" w:space="0" w:color="005B52"/>
            </w:tcBorders>
            <w:tcMar>
              <w:top w:w="0" w:type="dxa"/>
              <w:left w:w="20" w:type="dxa"/>
              <w:bottom w:w="0" w:type="dxa"/>
              <w:right w:w="20" w:type="dxa"/>
            </w:tcMar>
            <w:vAlign w:val="center"/>
          </w:tcPr>
          <w:p w14:paraId="000004A0" w14:textId="77777777" w:rsidR="00031725" w:rsidRDefault="00000000">
            <w:pPr>
              <w:spacing w:after="0" w:line="240" w:lineRule="auto"/>
              <w:rPr>
                <w:sz w:val="18"/>
                <w:szCs w:val="18"/>
              </w:rPr>
            </w:pPr>
            <w:r>
              <w:rPr>
                <w:sz w:val="18"/>
                <w:szCs w:val="18"/>
              </w:rPr>
              <w:t xml:space="preserve">A persistent, internationally standardised identifier used to uniquely and permanently identify a digital object such as a journal article, dataset or report, ensuring it remains findable even if its web location changes. (Source: </w:t>
            </w:r>
            <w:hyperlink r:id="rId105">
              <w:r w:rsidR="00031725">
                <w:rPr>
                  <w:color w:val="1155CC"/>
                  <w:sz w:val="18"/>
                  <w:szCs w:val="18"/>
                  <w:u w:val="single"/>
                </w:rPr>
                <w:t>DOI Foundation</w:t>
              </w:r>
            </w:hyperlink>
            <w:r>
              <w:rPr>
                <w:sz w:val="18"/>
                <w:szCs w:val="18"/>
              </w:rPr>
              <w:t>; see also ISO 26324:2022, Information and documentation - Digital object identifier system)"</w:t>
            </w:r>
          </w:p>
        </w:tc>
      </w:tr>
      <w:tr w:rsidR="00031725" w14:paraId="68B40664" w14:textId="77777777">
        <w:trPr>
          <w:trHeight w:val="990"/>
        </w:trPr>
        <w:tc>
          <w:tcPr>
            <w:tcW w:w="2280" w:type="dxa"/>
            <w:tcBorders>
              <w:top w:val="single" w:sz="5" w:space="0" w:color="005B52"/>
              <w:left w:val="single" w:sz="5" w:space="0" w:color="005B52"/>
              <w:bottom w:val="single" w:sz="5" w:space="0" w:color="005B52"/>
              <w:right w:val="single" w:sz="5" w:space="0" w:color="005B52"/>
            </w:tcBorders>
            <w:shd w:val="clear" w:color="auto" w:fill="EDF7F5"/>
            <w:tcMar>
              <w:top w:w="0" w:type="dxa"/>
              <w:left w:w="20" w:type="dxa"/>
              <w:bottom w:w="0" w:type="dxa"/>
              <w:right w:w="20" w:type="dxa"/>
            </w:tcMar>
            <w:vAlign w:val="center"/>
          </w:tcPr>
          <w:p w14:paraId="000004A1" w14:textId="77777777" w:rsidR="00031725" w:rsidRDefault="00000000">
            <w:pPr>
              <w:spacing w:after="0" w:line="240" w:lineRule="auto"/>
              <w:rPr>
                <w:b/>
                <w:bCs/>
                <w:sz w:val="18"/>
                <w:szCs w:val="18"/>
              </w:rPr>
            </w:pPr>
            <w:r>
              <w:rPr>
                <w:b/>
                <w:bCs/>
                <w:sz w:val="18"/>
                <w:szCs w:val="18"/>
              </w:rPr>
              <w:lastRenderedPageBreak/>
              <w:t>Dublin Core</w:t>
            </w:r>
          </w:p>
        </w:tc>
        <w:tc>
          <w:tcPr>
            <w:tcW w:w="6840" w:type="dxa"/>
            <w:tcBorders>
              <w:top w:val="single" w:sz="5" w:space="0" w:color="005B52"/>
              <w:left w:val="single" w:sz="5" w:space="0" w:color="005B52"/>
              <w:bottom w:val="single" w:sz="5" w:space="0" w:color="005B52"/>
              <w:right w:val="single" w:sz="5" w:space="0" w:color="005B52"/>
            </w:tcBorders>
            <w:tcMar>
              <w:top w:w="0" w:type="dxa"/>
              <w:left w:w="20" w:type="dxa"/>
              <w:bottom w:w="0" w:type="dxa"/>
              <w:right w:w="20" w:type="dxa"/>
            </w:tcMar>
            <w:vAlign w:val="center"/>
          </w:tcPr>
          <w:p w14:paraId="000004A2" w14:textId="77777777" w:rsidR="00031725" w:rsidRDefault="00000000">
            <w:pPr>
              <w:spacing w:after="0" w:line="240" w:lineRule="auto"/>
              <w:rPr>
                <w:sz w:val="18"/>
                <w:szCs w:val="18"/>
              </w:rPr>
            </w:pPr>
            <w:r>
              <w:rPr>
                <w:sz w:val="18"/>
                <w:szCs w:val="18"/>
              </w:rPr>
              <w:t>A widely used, general-purpose metadata standard consisting of a small set of core elements, such as title, creator, date, and subject, for describing digital and physical resources, designed to support resource discovery across domains. (Source:</w:t>
            </w:r>
            <w:hyperlink r:id="rId106">
              <w:r w:rsidR="00031725">
                <w:rPr>
                  <w:color w:val="1155CC"/>
                  <w:sz w:val="18"/>
                  <w:szCs w:val="18"/>
                  <w:u w:val="single"/>
                </w:rPr>
                <w:t xml:space="preserve"> Dublin Core Metadata Initiative</w:t>
              </w:r>
            </w:hyperlink>
            <w:r>
              <w:rPr>
                <w:sz w:val="18"/>
                <w:szCs w:val="18"/>
              </w:rPr>
              <w:t>)</w:t>
            </w:r>
          </w:p>
        </w:tc>
      </w:tr>
      <w:tr w:rsidR="00031725" w14:paraId="5D6618B2" w14:textId="77777777">
        <w:trPr>
          <w:trHeight w:val="1185"/>
        </w:trPr>
        <w:tc>
          <w:tcPr>
            <w:tcW w:w="2280" w:type="dxa"/>
            <w:tcBorders>
              <w:top w:val="single" w:sz="5" w:space="0" w:color="005B52"/>
              <w:left w:val="single" w:sz="5" w:space="0" w:color="005B52"/>
              <w:bottom w:val="single" w:sz="5" w:space="0" w:color="005B52"/>
              <w:right w:val="single" w:sz="5" w:space="0" w:color="005B52"/>
            </w:tcBorders>
            <w:shd w:val="clear" w:color="auto" w:fill="EDF7F5"/>
            <w:tcMar>
              <w:top w:w="0" w:type="dxa"/>
              <w:left w:w="20" w:type="dxa"/>
              <w:bottom w:w="0" w:type="dxa"/>
              <w:right w:w="20" w:type="dxa"/>
            </w:tcMar>
            <w:vAlign w:val="center"/>
          </w:tcPr>
          <w:p w14:paraId="000004A3" w14:textId="77777777" w:rsidR="00031725" w:rsidRDefault="00000000">
            <w:pPr>
              <w:spacing w:after="0" w:line="240" w:lineRule="auto"/>
              <w:rPr>
                <w:b/>
                <w:bCs/>
                <w:sz w:val="18"/>
                <w:szCs w:val="18"/>
              </w:rPr>
            </w:pPr>
            <w:r>
              <w:rPr>
                <w:b/>
                <w:bCs/>
                <w:sz w:val="18"/>
                <w:szCs w:val="18"/>
              </w:rPr>
              <w:t>Edge Deployment</w:t>
            </w:r>
          </w:p>
        </w:tc>
        <w:tc>
          <w:tcPr>
            <w:tcW w:w="6840" w:type="dxa"/>
            <w:tcBorders>
              <w:top w:val="single" w:sz="5" w:space="0" w:color="005B52"/>
              <w:left w:val="single" w:sz="5" w:space="0" w:color="005B52"/>
              <w:bottom w:val="single" w:sz="5" w:space="0" w:color="005B52"/>
              <w:right w:val="single" w:sz="5" w:space="0" w:color="005B52"/>
            </w:tcBorders>
            <w:tcMar>
              <w:top w:w="0" w:type="dxa"/>
              <w:left w:w="20" w:type="dxa"/>
              <w:bottom w:w="0" w:type="dxa"/>
              <w:right w:w="20" w:type="dxa"/>
            </w:tcMar>
            <w:vAlign w:val="center"/>
          </w:tcPr>
          <w:p w14:paraId="000004A4" w14:textId="77777777" w:rsidR="00031725" w:rsidRDefault="00000000">
            <w:pPr>
              <w:spacing w:after="0" w:line="240" w:lineRule="auto"/>
              <w:rPr>
                <w:sz w:val="18"/>
                <w:szCs w:val="18"/>
              </w:rPr>
            </w:pPr>
            <w:r>
              <w:rPr>
                <w:sz w:val="18"/>
                <w:szCs w:val="18"/>
              </w:rPr>
              <w:t>An approach to deploying computing infrastructure close to where data is generated or used, such as on a local server or device, rather than relying on centralised cloud data centres, reducing latency and supporting data residency requirements. (Source:</w:t>
            </w:r>
            <w:hyperlink r:id="rId107">
              <w:r w:rsidR="00031725">
                <w:rPr>
                  <w:color w:val="1155CC"/>
                  <w:sz w:val="18"/>
                  <w:szCs w:val="18"/>
                  <w:u w:val="single"/>
                </w:rPr>
                <w:t xml:space="preserve"> ISO/IEC TR 23188:2020, Information technology - Cloud computing - Edge computing landscape</w:t>
              </w:r>
            </w:hyperlink>
            <w:r>
              <w:rPr>
                <w:sz w:val="18"/>
                <w:szCs w:val="18"/>
              </w:rPr>
              <w:t>, ISO/IEC Joint Technical Committee 1, Subcommittee 38)</w:t>
            </w:r>
          </w:p>
        </w:tc>
      </w:tr>
      <w:tr w:rsidR="00031725" w14:paraId="30CE53DC" w14:textId="77777777">
        <w:trPr>
          <w:trHeight w:val="780"/>
        </w:trPr>
        <w:tc>
          <w:tcPr>
            <w:tcW w:w="2280" w:type="dxa"/>
            <w:tcBorders>
              <w:top w:val="single" w:sz="5" w:space="0" w:color="005B52"/>
              <w:left w:val="single" w:sz="5" w:space="0" w:color="005B52"/>
              <w:bottom w:val="single" w:sz="5" w:space="0" w:color="005B52"/>
              <w:right w:val="single" w:sz="5" w:space="0" w:color="005B52"/>
            </w:tcBorders>
            <w:shd w:val="clear" w:color="auto" w:fill="EDF7F5"/>
            <w:tcMar>
              <w:top w:w="0" w:type="dxa"/>
              <w:left w:w="20" w:type="dxa"/>
              <w:bottom w:w="0" w:type="dxa"/>
              <w:right w:w="20" w:type="dxa"/>
            </w:tcMar>
            <w:vAlign w:val="center"/>
          </w:tcPr>
          <w:p w14:paraId="000004A5" w14:textId="77777777" w:rsidR="00031725" w:rsidRDefault="00000000">
            <w:pPr>
              <w:spacing w:after="0" w:line="240" w:lineRule="auto"/>
              <w:rPr>
                <w:b/>
                <w:bCs/>
                <w:sz w:val="18"/>
                <w:szCs w:val="18"/>
              </w:rPr>
            </w:pPr>
            <w:r>
              <w:rPr>
                <w:b/>
                <w:bCs/>
                <w:sz w:val="18"/>
                <w:szCs w:val="18"/>
              </w:rPr>
              <w:t>Embargo</w:t>
            </w:r>
          </w:p>
        </w:tc>
        <w:tc>
          <w:tcPr>
            <w:tcW w:w="6840" w:type="dxa"/>
            <w:tcBorders>
              <w:top w:val="single" w:sz="5" w:space="0" w:color="005B52"/>
              <w:left w:val="single" w:sz="5" w:space="0" w:color="005B52"/>
              <w:bottom w:val="single" w:sz="5" w:space="0" w:color="005B52"/>
              <w:right w:val="single" w:sz="5" w:space="0" w:color="005B52"/>
            </w:tcBorders>
            <w:tcMar>
              <w:top w:w="0" w:type="dxa"/>
              <w:left w:w="20" w:type="dxa"/>
              <w:bottom w:w="0" w:type="dxa"/>
              <w:right w:w="20" w:type="dxa"/>
            </w:tcMar>
            <w:vAlign w:val="center"/>
          </w:tcPr>
          <w:p w14:paraId="000004A6" w14:textId="77777777" w:rsidR="00031725" w:rsidRDefault="00000000">
            <w:pPr>
              <w:spacing w:after="0" w:line="240" w:lineRule="auto"/>
              <w:rPr>
                <w:sz w:val="18"/>
                <w:szCs w:val="18"/>
              </w:rPr>
            </w:pPr>
            <w:r>
              <w:rPr>
                <w:sz w:val="18"/>
                <w:szCs w:val="18"/>
              </w:rPr>
              <w:t>The set period of time by which investigators retain exclusive rights to their dataset while it has been deposited in a repository but before it is made publicly available. (Source: SPARC Portal documentation, https://docs.sparc.science/docs/embargoed-data, adapted for general use)</w:t>
            </w:r>
          </w:p>
        </w:tc>
      </w:tr>
      <w:tr w:rsidR="00031725" w14:paraId="7673E7AD" w14:textId="77777777">
        <w:trPr>
          <w:trHeight w:val="780"/>
        </w:trPr>
        <w:tc>
          <w:tcPr>
            <w:tcW w:w="2280" w:type="dxa"/>
            <w:tcBorders>
              <w:top w:val="single" w:sz="5" w:space="0" w:color="005B52"/>
              <w:left w:val="single" w:sz="5" w:space="0" w:color="005B52"/>
              <w:bottom w:val="single" w:sz="5" w:space="0" w:color="005B52"/>
              <w:right w:val="single" w:sz="5" w:space="0" w:color="005B52"/>
            </w:tcBorders>
            <w:shd w:val="clear" w:color="auto" w:fill="EDF7F5"/>
            <w:tcMar>
              <w:top w:w="0" w:type="dxa"/>
              <w:left w:w="20" w:type="dxa"/>
              <w:bottom w:w="0" w:type="dxa"/>
              <w:right w:w="20" w:type="dxa"/>
            </w:tcMar>
            <w:vAlign w:val="center"/>
          </w:tcPr>
          <w:p w14:paraId="000004A7" w14:textId="77777777" w:rsidR="00031725" w:rsidRDefault="00000000">
            <w:pPr>
              <w:spacing w:after="0" w:line="240" w:lineRule="auto"/>
              <w:rPr>
                <w:b/>
                <w:bCs/>
                <w:sz w:val="18"/>
                <w:szCs w:val="18"/>
              </w:rPr>
            </w:pPr>
            <w:r>
              <w:rPr>
                <w:b/>
                <w:bCs/>
                <w:sz w:val="18"/>
                <w:szCs w:val="18"/>
              </w:rPr>
              <w:t>FAIR Digital Object (FDO) framework</w:t>
            </w:r>
          </w:p>
        </w:tc>
        <w:tc>
          <w:tcPr>
            <w:tcW w:w="6840" w:type="dxa"/>
            <w:tcBorders>
              <w:top w:val="single" w:sz="5" w:space="0" w:color="005B52"/>
              <w:left w:val="single" w:sz="5" w:space="0" w:color="005B52"/>
              <w:bottom w:val="single" w:sz="5" w:space="0" w:color="005B52"/>
              <w:right w:val="single" w:sz="5" w:space="0" w:color="005B52"/>
            </w:tcBorders>
            <w:tcMar>
              <w:top w:w="0" w:type="dxa"/>
              <w:left w:w="20" w:type="dxa"/>
              <w:bottom w:w="0" w:type="dxa"/>
              <w:right w:w="20" w:type="dxa"/>
            </w:tcMar>
            <w:vAlign w:val="center"/>
          </w:tcPr>
          <w:p w14:paraId="000004A8" w14:textId="77777777" w:rsidR="00031725" w:rsidRDefault="00000000">
            <w:pPr>
              <w:spacing w:after="0" w:line="240" w:lineRule="auto"/>
              <w:rPr>
                <w:sz w:val="18"/>
                <w:szCs w:val="18"/>
              </w:rPr>
            </w:pPr>
            <w:r>
              <w:rPr>
                <w:sz w:val="18"/>
                <w:szCs w:val="18"/>
              </w:rPr>
              <w:t>A machine-actionable digital object that bundles data, metadata, type information and a persistent identifier together, enabling software systems to automatically interpret, validate and act on its content and structure. (Source:</w:t>
            </w:r>
            <w:hyperlink r:id="rId108">
              <w:r w:rsidR="00031725">
                <w:rPr>
                  <w:color w:val="1155CC"/>
                  <w:sz w:val="18"/>
                  <w:szCs w:val="18"/>
                  <w:u w:val="single"/>
                </w:rPr>
                <w:t xml:space="preserve"> FAIR Digital Object Forum</w:t>
              </w:r>
            </w:hyperlink>
            <w:r>
              <w:rPr>
                <w:sz w:val="18"/>
                <w:szCs w:val="18"/>
              </w:rPr>
              <w:t>)</w:t>
            </w:r>
          </w:p>
        </w:tc>
      </w:tr>
      <w:tr w:rsidR="00031725" w14:paraId="578BBFFF" w14:textId="77777777">
        <w:trPr>
          <w:trHeight w:val="1185"/>
        </w:trPr>
        <w:tc>
          <w:tcPr>
            <w:tcW w:w="2280" w:type="dxa"/>
            <w:tcBorders>
              <w:top w:val="single" w:sz="5" w:space="0" w:color="005B52"/>
              <w:left w:val="single" w:sz="5" w:space="0" w:color="005B52"/>
              <w:bottom w:val="single" w:sz="5" w:space="0" w:color="005B52"/>
              <w:right w:val="single" w:sz="5" w:space="0" w:color="005B52"/>
            </w:tcBorders>
            <w:shd w:val="clear" w:color="auto" w:fill="EDF7F5"/>
            <w:tcMar>
              <w:top w:w="0" w:type="dxa"/>
              <w:left w:w="20" w:type="dxa"/>
              <w:bottom w:w="0" w:type="dxa"/>
              <w:right w:w="20" w:type="dxa"/>
            </w:tcMar>
            <w:vAlign w:val="center"/>
          </w:tcPr>
          <w:p w14:paraId="000004A9" w14:textId="77777777" w:rsidR="00031725" w:rsidRDefault="00000000">
            <w:pPr>
              <w:spacing w:after="0" w:line="240" w:lineRule="auto"/>
              <w:rPr>
                <w:b/>
                <w:bCs/>
                <w:sz w:val="18"/>
                <w:szCs w:val="18"/>
              </w:rPr>
            </w:pPr>
            <w:r>
              <w:rPr>
                <w:b/>
                <w:bCs/>
                <w:sz w:val="18"/>
                <w:szCs w:val="18"/>
              </w:rPr>
              <w:t>FAIR Principles</w:t>
            </w:r>
          </w:p>
        </w:tc>
        <w:tc>
          <w:tcPr>
            <w:tcW w:w="6840" w:type="dxa"/>
            <w:tcBorders>
              <w:top w:val="single" w:sz="5" w:space="0" w:color="005B52"/>
              <w:left w:val="single" w:sz="5" w:space="0" w:color="005B52"/>
              <w:bottom w:val="single" w:sz="5" w:space="0" w:color="005B52"/>
              <w:right w:val="single" w:sz="5" w:space="0" w:color="005B52"/>
            </w:tcBorders>
            <w:tcMar>
              <w:top w:w="0" w:type="dxa"/>
              <w:left w:w="20" w:type="dxa"/>
              <w:bottom w:w="0" w:type="dxa"/>
              <w:right w:w="20" w:type="dxa"/>
            </w:tcMar>
            <w:vAlign w:val="center"/>
          </w:tcPr>
          <w:p w14:paraId="000004AA" w14:textId="77777777" w:rsidR="00031725" w:rsidRDefault="00000000">
            <w:pPr>
              <w:spacing w:after="0" w:line="240" w:lineRule="auto"/>
              <w:rPr>
                <w:sz w:val="18"/>
                <w:szCs w:val="18"/>
              </w:rPr>
            </w:pPr>
            <w:r>
              <w:rPr>
                <w:sz w:val="18"/>
                <w:szCs w:val="18"/>
              </w:rPr>
              <w:t>Findable, Accessible, Interoperable and Reusable: a set of guiding principles for making research data, software and other digital objects usable by both humans and machines, and a cornerstone of open science policy. (Source: Wilkinson, M.D. et al. (2016). The FAIR Guiding Principles for scientific data management and stewardship. Scientific Data, 3, 160018.</w:t>
            </w:r>
            <w:hyperlink r:id="rId109">
              <w:r w:rsidR="00031725">
                <w:rPr>
                  <w:color w:val="1155CC"/>
                  <w:sz w:val="18"/>
                  <w:szCs w:val="18"/>
                  <w:u w:val="single"/>
                </w:rPr>
                <w:t xml:space="preserve"> https://doi.org/10.1038/sdata.2016.18</w:t>
              </w:r>
            </w:hyperlink>
            <w:r>
              <w:rPr>
                <w:sz w:val="18"/>
                <w:szCs w:val="18"/>
              </w:rPr>
              <w:t>)</w:t>
            </w:r>
          </w:p>
        </w:tc>
      </w:tr>
      <w:tr w:rsidR="00031725" w14:paraId="275185E9" w14:textId="77777777" w:rsidTr="00D60B9D">
        <w:trPr>
          <w:trHeight w:val="647"/>
        </w:trPr>
        <w:tc>
          <w:tcPr>
            <w:tcW w:w="2280" w:type="dxa"/>
            <w:tcBorders>
              <w:top w:val="single" w:sz="5" w:space="0" w:color="005B52"/>
              <w:left w:val="single" w:sz="5" w:space="0" w:color="005B52"/>
              <w:bottom w:val="single" w:sz="5" w:space="0" w:color="005B52"/>
              <w:right w:val="single" w:sz="5" w:space="0" w:color="005B52"/>
            </w:tcBorders>
            <w:shd w:val="clear" w:color="auto" w:fill="EDF7F5"/>
            <w:tcMar>
              <w:top w:w="0" w:type="dxa"/>
              <w:left w:w="20" w:type="dxa"/>
              <w:bottom w:w="0" w:type="dxa"/>
              <w:right w:w="20" w:type="dxa"/>
            </w:tcMar>
            <w:vAlign w:val="center"/>
          </w:tcPr>
          <w:p w14:paraId="000004AB" w14:textId="77777777" w:rsidR="00031725" w:rsidRDefault="00000000">
            <w:pPr>
              <w:spacing w:after="0" w:line="240" w:lineRule="auto"/>
              <w:rPr>
                <w:b/>
                <w:bCs/>
                <w:sz w:val="18"/>
                <w:szCs w:val="18"/>
              </w:rPr>
            </w:pPr>
            <w:r>
              <w:rPr>
                <w:b/>
                <w:bCs/>
                <w:sz w:val="18"/>
                <w:szCs w:val="18"/>
              </w:rPr>
              <w:t>Federation</w:t>
            </w:r>
          </w:p>
        </w:tc>
        <w:tc>
          <w:tcPr>
            <w:tcW w:w="6840" w:type="dxa"/>
            <w:tcBorders>
              <w:top w:val="single" w:sz="5" w:space="0" w:color="005B52"/>
              <w:left w:val="single" w:sz="5" w:space="0" w:color="005B52"/>
              <w:bottom w:val="single" w:sz="5" w:space="0" w:color="005B52"/>
              <w:right w:val="single" w:sz="5" w:space="0" w:color="005B52"/>
            </w:tcBorders>
            <w:tcMar>
              <w:top w:w="0" w:type="dxa"/>
              <w:left w:w="20" w:type="dxa"/>
              <w:bottom w:w="0" w:type="dxa"/>
              <w:right w:w="20" w:type="dxa"/>
            </w:tcMar>
            <w:vAlign w:val="center"/>
          </w:tcPr>
          <w:p w14:paraId="000004AC" w14:textId="3A4DCAA2" w:rsidR="00031725" w:rsidRPr="008253CE" w:rsidRDefault="008253CE" w:rsidP="008253CE">
            <w:pPr>
              <w:rPr>
                <w:sz w:val="18"/>
                <w:szCs w:val="18"/>
              </w:rPr>
            </w:pPr>
            <w:r w:rsidRPr="008253CE">
              <w:rPr>
                <w:sz w:val="18"/>
                <w:szCs w:val="18"/>
              </w:rPr>
              <w:t xml:space="preserve">A model for connecting multiple independent research data systems, repositories or infrastructure nodes so that resources, services and datasets can be discovered, accessed and used across them without being centralised or merged into a single system. Each participant retains ownership and control of their own resources. (Source: </w:t>
            </w:r>
            <w:hyperlink r:id="rId110" w:history="1">
              <w:r w:rsidRPr="00895C8C">
                <w:rPr>
                  <w:rStyle w:val="Hyperlink"/>
                  <w:color w:val="0F55CC"/>
                  <w:sz w:val="18"/>
                  <w:szCs w:val="18"/>
                </w:rPr>
                <w:t>European Open Science Cloud (EOSC) Architecture Documentation</w:t>
              </w:r>
            </w:hyperlink>
            <w:r w:rsidRPr="00895C8C">
              <w:rPr>
                <w:color w:val="0F55CC"/>
                <w:sz w:val="18"/>
                <w:szCs w:val="18"/>
              </w:rPr>
              <w:t>.</w:t>
            </w:r>
            <w:r w:rsidRPr="008253CE">
              <w:rPr>
                <w:sz w:val="18"/>
                <w:szCs w:val="18"/>
              </w:rPr>
              <w:t xml:space="preserve"> 'The European Open Science Cloud (EOSC) is a federated system designed to enable seamless sharing, discovery, and access to research resources across Europe. It consists of interconnected EOSC Nodes, which can be national, regional, or thematic infrastructures that provide services, datasets, and computational resources to the research community.'</w:t>
            </w:r>
          </w:p>
        </w:tc>
      </w:tr>
      <w:tr w:rsidR="00031725" w14:paraId="7D8B012D" w14:textId="77777777">
        <w:trPr>
          <w:trHeight w:val="1950"/>
        </w:trPr>
        <w:tc>
          <w:tcPr>
            <w:tcW w:w="2280" w:type="dxa"/>
            <w:tcBorders>
              <w:top w:val="single" w:sz="5" w:space="0" w:color="005B52"/>
              <w:left w:val="single" w:sz="5" w:space="0" w:color="005B52"/>
              <w:bottom w:val="single" w:sz="5" w:space="0" w:color="005B52"/>
              <w:right w:val="single" w:sz="5" w:space="0" w:color="005B52"/>
            </w:tcBorders>
            <w:shd w:val="clear" w:color="auto" w:fill="EDF7F5"/>
            <w:tcMar>
              <w:top w:w="0" w:type="dxa"/>
              <w:left w:w="20" w:type="dxa"/>
              <w:bottom w:w="0" w:type="dxa"/>
              <w:right w:w="20" w:type="dxa"/>
            </w:tcMar>
            <w:vAlign w:val="center"/>
          </w:tcPr>
          <w:p w14:paraId="000004AD" w14:textId="77777777" w:rsidR="00031725" w:rsidRDefault="00000000">
            <w:pPr>
              <w:spacing w:after="0" w:line="240" w:lineRule="auto"/>
              <w:rPr>
                <w:b/>
                <w:bCs/>
                <w:sz w:val="18"/>
                <w:szCs w:val="18"/>
              </w:rPr>
            </w:pPr>
            <w:r>
              <w:rPr>
                <w:b/>
                <w:bCs/>
                <w:sz w:val="18"/>
                <w:szCs w:val="18"/>
              </w:rPr>
              <w:t>GUPRI (Globally Unique, Persistent and Resolvable Identifier)</w:t>
            </w:r>
          </w:p>
        </w:tc>
        <w:tc>
          <w:tcPr>
            <w:tcW w:w="6840" w:type="dxa"/>
            <w:tcBorders>
              <w:top w:val="single" w:sz="5" w:space="0" w:color="005B52"/>
              <w:left w:val="single" w:sz="5" w:space="0" w:color="005B52"/>
              <w:bottom w:val="single" w:sz="5" w:space="0" w:color="005B52"/>
              <w:right w:val="single" w:sz="5" w:space="0" w:color="005B52"/>
            </w:tcBorders>
            <w:tcMar>
              <w:top w:w="0" w:type="dxa"/>
              <w:left w:w="20" w:type="dxa"/>
              <w:bottom w:w="0" w:type="dxa"/>
              <w:right w:w="20" w:type="dxa"/>
            </w:tcMar>
            <w:vAlign w:val="center"/>
          </w:tcPr>
          <w:p w14:paraId="000004AE" w14:textId="77777777" w:rsidR="00031725" w:rsidRDefault="00000000">
            <w:pPr>
              <w:spacing w:after="0" w:line="240" w:lineRule="auto"/>
              <w:rPr>
                <w:sz w:val="18"/>
                <w:szCs w:val="18"/>
              </w:rPr>
            </w:pPr>
            <w:r>
              <w:rPr>
                <w:sz w:val="18"/>
                <w:szCs w:val="18"/>
              </w:rPr>
              <w:t xml:space="preserve">An identifier that is globally unique, remains valid and resolvable over time, and can be used by humans and machines to access information about the digital object it identifies. As described in the EOSC PID Policy, a resource that is FAIR must be assigned an identifier that meets all three criteria. (Source: EOSC FAIR Working Group and Architecture Working Group. </w:t>
            </w:r>
            <w:hyperlink r:id="rId111">
              <w:r w:rsidR="00031725">
                <w:rPr>
                  <w:color w:val="1155CC"/>
                  <w:sz w:val="18"/>
                  <w:szCs w:val="18"/>
                  <w:u w:val="single"/>
                </w:rPr>
                <w:t>A Persistent Identifier (PID) policy for the European Open Science Cloud</w:t>
              </w:r>
            </w:hyperlink>
            <w:r>
              <w:rPr>
                <w:sz w:val="18"/>
                <w:szCs w:val="18"/>
              </w:rPr>
              <w:t xml:space="preserve">. European Commission Publications Office, October 2020. See also </w:t>
            </w:r>
            <w:hyperlink r:id="rId112">
              <w:r w:rsidR="00031725">
                <w:rPr>
                  <w:color w:val="1155CC"/>
                  <w:sz w:val="18"/>
                  <w:szCs w:val="18"/>
                  <w:u w:val="single"/>
                </w:rPr>
                <w:t>FAIRsharing documentation on GUPRIs</w:t>
              </w:r>
            </w:hyperlink>
            <w:r>
              <w:rPr>
                <w:sz w:val="18"/>
                <w:szCs w:val="18"/>
              </w:rPr>
              <w:t>.</w:t>
            </w:r>
          </w:p>
        </w:tc>
      </w:tr>
      <w:tr w:rsidR="00031725" w14:paraId="58B90AC4" w14:textId="77777777">
        <w:trPr>
          <w:trHeight w:val="2010"/>
        </w:trPr>
        <w:tc>
          <w:tcPr>
            <w:tcW w:w="2280" w:type="dxa"/>
            <w:tcBorders>
              <w:top w:val="single" w:sz="5" w:space="0" w:color="005B52"/>
              <w:left w:val="single" w:sz="5" w:space="0" w:color="005B52"/>
              <w:bottom w:val="single" w:sz="5" w:space="0" w:color="005B52"/>
              <w:right w:val="single" w:sz="5" w:space="0" w:color="005B52"/>
            </w:tcBorders>
            <w:shd w:val="clear" w:color="auto" w:fill="EDF7F5"/>
            <w:tcMar>
              <w:top w:w="0" w:type="dxa"/>
              <w:left w:w="20" w:type="dxa"/>
              <w:bottom w:w="0" w:type="dxa"/>
              <w:right w:w="20" w:type="dxa"/>
            </w:tcMar>
            <w:vAlign w:val="center"/>
          </w:tcPr>
          <w:p w14:paraId="000004AF" w14:textId="77777777" w:rsidR="00031725" w:rsidRDefault="00000000">
            <w:pPr>
              <w:spacing w:after="0" w:line="240" w:lineRule="auto"/>
              <w:rPr>
                <w:b/>
                <w:bCs/>
                <w:sz w:val="18"/>
                <w:szCs w:val="18"/>
              </w:rPr>
            </w:pPr>
            <w:r>
              <w:rPr>
                <w:b/>
                <w:bCs/>
                <w:sz w:val="18"/>
                <w:szCs w:val="18"/>
              </w:rPr>
              <w:t>Hallucination (AI)</w:t>
            </w:r>
          </w:p>
        </w:tc>
        <w:tc>
          <w:tcPr>
            <w:tcW w:w="6840" w:type="dxa"/>
            <w:tcBorders>
              <w:top w:val="single" w:sz="5" w:space="0" w:color="005B52"/>
              <w:left w:val="single" w:sz="5" w:space="0" w:color="005B52"/>
              <w:bottom w:val="single" w:sz="5" w:space="0" w:color="005B52"/>
              <w:right w:val="single" w:sz="5" w:space="0" w:color="005B52"/>
            </w:tcBorders>
            <w:tcMar>
              <w:top w:w="0" w:type="dxa"/>
              <w:left w:w="20" w:type="dxa"/>
              <w:bottom w:w="0" w:type="dxa"/>
              <w:right w:w="20" w:type="dxa"/>
            </w:tcMar>
            <w:vAlign w:val="center"/>
          </w:tcPr>
          <w:p w14:paraId="000004B0" w14:textId="2E4D8F4A" w:rsidR="00031725" w:rsidRDefault="00000000">
            <w:pPr>
              <w:spacing w:after="0" w:line="240" w:lineRule="auto"/>
              <w:rPr>
                <w:sz w:val="18"/>
                <w:szCs w:val="18"/>
              </w:rPr>
            </w:pPr>
            <w:r>
              <w:rPr>
                <w:sz w:val="18"/>
                <w:szCs w:val="18"/>
              </w:rPr>
              <w:t>A term used to describe instances where an AI system generates content that is confidently stated but factually incorrect, erroneous, or not grounded in verifiable evidence. The term is contested: the output may be consistent with patterns in training data while still being factually wrong or insufficiently evidenced for the purposes for which it is used. NIST AI 600-1 uses the more precise term confabulation to describe the production of confidently stated but erroneous or false content. (Source:</w:t>
            </w:r>
            <w:hyperlink r:id="rId113">
              <w:r w:rsidR="00031725">
                <w:rPr>
                  <w:color w:val="1155CC"/>
                  <w:sz w:val="18"/>
                  <w:szCs w:val="18"/>
                  <w:u w:val="single"/>
                </w:rPr>
                <w:t xml:space="preserve"> NIST AI 600-1, Artificial Intelligence Risk Management Framework: Generative Artificial Intelligence Profile</w:t>
              </w:r>
            </w:hyperlink>
            <w:r>
              <w:rPr>
                <w:sz w:val="18"/>
                <w:szCs w:val="18"/>
              </w:rPr>
              <w:t>, National Institute of Standards and Technology, 2024)</w:t>
            </w:r>
          </w:p>
        </w:tc>
      </w:tr>
      <w:tr w:rsidR="00031725" w14:paraId="4DDEDEF0" w14:textId="77777777">
        <w:trPr>
          <w:trHeight w:val="780"/>
        </w:trPr>
        <w:tc>
          <w:tcPr>
            <w:tcW w:w="2280" w:type="dxa"/>
            <w:tcBorders>
              <w:top w:val="single" w:sz="5" w:space="0" w:color="005B52"/>
              <w:left w:val="single" w:sz="5" w:space="0" w:color="005B52"/>
              <w:bottom w:val="single" w:sz="5" w:space="0" w:color="005B52"/>
              <w:right w:val="single" w:sz="5" w:space="0" w:color="005B52"/>
            </w:tcBorders>
            <w:shd w:val="clear" w:color="auto" w:fill="EDF7F5"/>
            <w:tcMar>
              <w:top w:w="0" w:type="dxa"/>
              <w:left w:w="20" w:type="dxa"/>
              <w:bottom w:w="0" w:type="dxa"/>
              <w:right w:w="20" w:type="dxa"/>
            </w:tcMar>
            <w:vAlign w:val="center"/>
          </w:tcPr>
          <w:p w14:paraId="000004B1" w14:textId="77777777" w:rsidR="00031725" w:rsidRDefault="00000000">
            <w:pPr>
              <w:spacing w:after="0" w:line="240" w:lineRule="auto"/>
              <w:rPr>
                <w:b/>
                <w:bCs/>
                <w:sz w:val="18"/>
                <w:szCs w:val="18"/>
              </w:rPr>
            </w:pPr>
            <w:r>
              <w:rPr>
                <w:b/>
                <w:bCs/>
                <w:sz w:val="18"/>
                <w:szCs w:val="18"/>
              </w:rPr>
              <w:t>Handle System</w:t>
            </w:r>
          </w:p>
        </w:tc>
        <w:tc>
          <w:tcPr>
            <w:tcW w:w="6840" w:type="dxa"/>
            <w:tcBorders>
              <w:top w:val="single" w:sz="5" w:space="0" w:color="005B52"/>
              <w:left w:val="single" w:sz="5" w:space="0" w:color="005B52"/>
              <w:bottom w:val="single" w:sz="5" w:space="0" w:color="005B52"/>
              <w:right w:val="single" w:sz="5" w:space="0" w:color="005B52"/>
            </w:tcBorders>
            <w:tcMar>
              <w:top w:w="0" w:type="dxa"/>
              <w:left w:w="20" w:type="dxa"/>
              <w:bottom w:w="0" w:type="dxa"/>
              <w:right w:w="20" w:type="dxa"/>
            </w:tcMar>
            <w:vAlign w:val="center"/>
          </w:tcPr>
          <w:p w14:paraId="000004B2" w14:textId="77777777" w:rsidR="00031725" w:rsidRDefault="00000000">
            <w:pPr>
              <w:spacing w:after="0" w:line="240" w:lineRule="auto"/>
              <w:rPr>
                <w:sz w:val="18"/>
                <w:szCs w:val="18"/>
              </w:rPr>
            </w:pPr>
            <w:r>
              <w:rPr>
                <w:sz w:val="18"/>
                <w:szCs w:val="18"/>
              </w:rPr>
              <w:t>A system for assigning and resolving persistent digital identifiers, known as Handles, which provide a stable reference to a digital resource regardless of changes to its location. (Source:</w:t>
            </w:r>
            <w:hyperlink r:id="rId114">
              <w:r w:rsidR="00031725">
                <w:rPr>
                  <w:color w:val="1155CC"/>
                  <w:sz w:val="18"/>
                  <w:szCs w:val="18"/>
                  <w:u w:val="single"/>
                </w:rPr>
                <w:t xml:space="preserve"> Handle.net Registry</w:t>
              </w:r>
            </w:hyperlink>
            <w:r>
              <w:rPr>
                <w:sz w:val="18"/>
                <w:szCs w:val="18"/>
              </w:rPr>
              <w:t>)</w:t>
            </w:r>
          </w:p>
        </w:tc>
      </w:tr>
      <w:tr w:rsidR="00031725" w14:paraId="7A1B7FF1" w14:textId="77777777">
        <w:trPr>
          <w:trHeight w:val="990"/>
        </w:trPr>
        <w:tc>
          <w:tcPr>
            <w:tcW w:w="2280" w:type="dxa"/>
            <w:tcBorders>
              <w:top w:val="single" w:sz="5" w:space="0" w:color="005B52"/>
              <w:left w:val="single" w:sz="5" w:space="0" w:color="005B52"/>
              <w:bottom w:val="single" w:sz="5" w:space="0" w:color="005B52"/>
              <w:right w:val="single" w:sz="5" w:space="0" w:color="005B52"/>
            </w:tcBorders>
            <w:shd w:val="clear" w:color="auto" w:fill="EDF7F5"/>
            <w:tcMar>
              <w:top w:w="0" w:type="dxa"/>
              <w:left w:w="20" w:type="dxa"/>
              <w:bottom w:w="0" w:type="dxa"/>
              <w:right w:w="20" w:type="dxa"/>
            </w:tcMar>
            <w:vAlign w:val="center"/>
          </w:tcPr>
          <w:p w14:paraId="000004B3" w14:textId="77777777" w:rsidR="00031725" w:rsidRDefault="00000000">
            <w:pPr>
              <w:spacing w:after="0" w:line="240" w:lineRule="auto"/>
              <w:rPr>
                <w:b/>
                <w:bCs/>
                <w:sz w:val="18"/>
                <w:szCs w:val="18"/>
              </w:rPr>
            </w:pPr>
            <w:r>
              <w:rPr>
                <w:b/>
                <w:bCs/>
                <w:sz w:val="18"/>
                <w:szCs w:val="18"/>
              </w:rPr>
              <w:lastRenderedPageBreak/>
              <w:t>Infrastructure as Code (IaC)</w:t>
            </w:r>
          </w:p>
        </w:tc>
        <w:tc>
          <w:tcPr>
            <w:tcW w:w="6840" w:type="dxa"/>
            <w:tcBorders>
              <w:top w:val="single" w:sz="5" w:space="0" w:color="005B52"/>
              <w:left w:val="single" w:sz="5" w:space="0" w:color="005B52"/>
              <w:bottom w:val="single" w:sz="5" w:space="0" w:color="005B52"/>
              <w:right w:val="single" w:sz="5" w:space="0" w:color="005B52"/>
            </w:tcBorders>
            <w:tcMar>
              <w:top w:w="0" w:type="dxa"/>
              <w:left w:w="20" w:type="dxa"/>
              <w:bottom w:w="0" w:type="dxa"/>
              <w:right w:w="20" w:type="dxa"/>
            </w:tcMar>
            <w:vAlign w:val="center"/>
          </w:tcPr>
          <w:p w14:paraId="000004B4" w14:textId="77777777" w:rsidR="00031725" w:rsidRDefault="00000000">
            <w:pPr>
              <w:spacing w:after="0" w:line="240" w:lineRule="auto"/>
              <w:rPr>
                <w:sz w:val="18"/>
                <w:szCs w:val="18"/>
              </w:rPr>
            </w:pPr>
            <w:r>
              <w:rPr>
                <w:sz w:val="18"/>
                <w:szCs w:val="18"/>
              </w:rPr>
              <w:t>The practice of defining and managing computing infrastructure, such as servers, networks and storage, through version-controlled configuration files rather than manual processes, enabling consistent, repeatable and auditable deployment. (Source:</w:t>
            </w:r>
            <w:hyperlink r:id="rId115">
              <w:r w:rsidR="00031725">
                <w:rPr>
                  <w:color w:val="1155CC"/>
                  <w:sz w:val="18"/>
                  <w:szCs w:val="18"/>
                  <w:u w:val="single"/>
                </w:rPr>
                <w:t xml:space="preserve"> Microsoft Learn</w:t>
              </w:r>
            </w:hyperlink>
            <w:r>
              <w:rPr>
                <w:sz w:val="18"/>
                <w:szCs w:val="18"/>
              </w:rPr>
              <w:t>)</w:t>
            </w:r>
          </w:p>
        </w:tc>
      </w:tr>
      <w:tr w:rsidR="00031725" w14:paraId="0C0829D4" w14:textId="77777777">
        <w:trPr>
          <w:trHeight w:val="2010"/>
        </w:trPr>
        <w:tc>
          <w:tcPr>
            <w:tcW w:w="2280" w:type="dxa"/>
            <w:tcBorders>
              <w:top w:val="single" w:sz="5" w:space="0" w:color="005B52"/>
              <w:left w:val="single" w:sz="5" w:space="0" w:color="005B52"/>
              <w:bottom w:val="single" w:sz="5" w:space="0" w:color="005B52"/>
              <w:right w:val="single" w:sz="5" w:space="0" w:color="005B52"/>
            </w:tcBorders>
            <w:shd w:val="clear" w:color="auto" w:fill="EDF7F5"/>
            <w:tcMar>
              <w:top w:w="0" w:type="dxa"/>
              <w:left w:w="20" w:type="dxa"/>
              <w:bottom w:w="0" w:type="dxa"/>
              <w:right w:w="20" w:type="dxa"/>
            </w:tcMar>
            <w:vAlign w:val="center"/>
          </w:tcPr>
          <w:p w14:paraId="000004B5" w14:textId="77777777" w:rsidR="00031725" w:rsidRDefault="00000000">
            <w:pPr>
              <w:spacing w:after="0" w:line="240" w:lineRule="auto"/>
              <w:rPr>
                <w:b/>
                <w:bCs/>
                <w:sz w:val="18"/>
                <w:szCs w:val="18"/>
              </w:rPr>
            </w:pPr>
            <w:r>
              <w:rPr>
                <w:b/>
                <w:bCs/>
                <w:sz w:val="18"/>
                <w:szCs w:val="18"/>
              </w:rPr>
              <w:t>IRB / REC (Institutional Review Board / Research Ethics Committee)</w:t>
            </w:r>
          </w:p>
        </w:tc>
        <w:tc>
          <w:tcPr>
            <w:tcW w:w="6840" w:type="dxa"/>
            <w:tcBorders>
              <w:top w:val="single" w:sz="5" w:space="0" w:color="005B52"/>
              <w:left w:val="single" w:sz="5" w:space="0" w:color="005B52"/>
              <w:bottom w:val="single" w:sz="5" w:space="0" w:color="005B52"/>
              <w:right w:val="single" w:sz="5" w:space="0" w:color="005B52"/>
            </w:tcBorders>
            <w:tcMar>
              <w:top w:w="0" w:type="dxa"/>
              <w:left w:w="20" w:type="dxa"/>
              <w:bottom w:w="0" w:type="dxa"/>
              <w:right w:w="20" w:type="dxa"/>
            </w:tcMar>
            <w:vAlign w:val="center"/>
          </w:tcPr>
          <w:p w14:paraId="000004B6" w14:textId="77777777" w:rsidR="00031725" w:rsidRDefault="00000000">
            <w:pPr>
              <w:spacing w:after="0" w:line="240" w:lineRule="auto"/>
              <w:rPr>
                <w:sz w:val="18"/>
                <w:szCs w:val="18"/>
              </w:rPr>
            </w:pPr>
            <w:r>
              <w:rPr>
                <w:sz w:val="18"/>
                <w:szCs w:val="18"/>
              </w:rPr>
              <w:t>A formally constituted committee responsible for reviewing and approving the ethical aspects of research involving human participants, animals or sensitive data, ensuring that research meets internationally recognised ethical standards before it proceeds. Known as an Institutional Review Board (IRB) in the United States and a Research Ethics Committee (REC) in many other countries. (Source:</w:t>
            </w:r>
            <w:hyperlink r:id="rId116">
              <w:r w:rsidR="00031725">
                <w:rPr>
                  <w:color w:val="1155CC"/>
                  <w:sz w:val="18"/>
                  <w:szCs w:val="18"/>
                  <w:u w:val="single"/>
                </w:rPr>
                <w:t xml:space="preserve"> World Health Organization. Standards and operational guidance for ethics review of health-related research with human participants</w:t>
              </w:r>
            </w:hyperlink>
            <w:r>
              <w:rPr>
                <w:sz w:val="18"/>
                <w:szCs w:val="18"/>
              </w:rPr>
              <w:t>. WHO, 2011. See also</w:t>
            </w:r>
            <w:hyperlink r:id="rId117">
              <w:r w:rsidR="00031725">
                <w:rPr>
                  <w:color w:val="1155CC"/>
                  <w:sz w:val="18"/>
                  <w:szCs w:val="18"/>
                  <w:u w:val="single"/>
                </w:rPr>
                <w:t xml:space="preserve"> CIOMS International Ethical Guidelines for Health-related Research Involving Humans</w:t>
              </w:r>
            </w:hyperlink>
            <w:r>
              <w:rPr>
                <w:sz w:val="18"/>
                <w:szCs w:val="18"/>
              </w:rPr>
              <w:t>, 2016, developed in collaboration with WHO)</w:t>
            </w:r>
          </w:p>
        </w:tc>
      </w:tr>
      <w:tr w:rsidR="00031725" w14:paraId="3039656F" w14:textId="77777777">
        <w:trPr>
          <w:trHeight w:val="780"/>
        </w:trPr>
        <w:tc>
          <w:tcPr>
            <w:tcW w:w="2280" w:type="dxa"/>
            <w:tcBorders>
              <w:top w:val="single" w:sz="5" w:space="0" w:color="005B52"/>
              <w:left w:val="single" w:sz="5" w:space="0" w:color="005B52"/>
              <w:bottom w:val="single" w:sz="5" w:space="0" w:color="005B52"/>
              <w:right w:val="single" w:sz="5" w:space="0" w:color="005B52"/>
            </w:tcBorders>
            <w:shd w:val="clear" w:color="auto" w:fill="EDF7F5"/>
            <w:tcMar>
              <w:top w:w="0" w:type="dxa"/>
              <w:left w:w="20" w:type="dxa"/>
              <w:bottom w:w="0" w:type="dxa"/>
              <w:right w:w="20" w:type="dxa"/>
            </w:tcMar>
            <w:vAlign w:val="center"/>
          </w:tcPr>
          <w:p w14:paraId="000004B7" w14:textId="77777777" w:rsidR="00031725" w:rsidRDefault="00000000">
            <w:pPr>
              <w:spacing w:after="0" w:line="240" w:lineRule="auto"/>
              <w:rPr>
                <w:b/>
                <w:bCs/>
                <w:sz w:val="18"/>
                <w:szCs w:val="18"/>
              </w:rPr>
            </w:pPr>
            <w:r>
              <w:rPr>
                <w:b/>
                <w:bCs/>
                <w:sz w:val="18"/>
                <w:szCs w:val="18"/>
              </w:rPr>
              <w:t>JSON Schema</w:t>
            </w:r>
          </w:p>
        </w:tc>
        <w:tc>
          <w:tcPr>
            <w:tcW w:w="6840" w:type="dxa"/>
            <w:tcBorders>
              <w:top w:val="single" w:sz="5" w:space="0" w:color="005B52"/>
              <w:left w:val="single" w:sz="5" w:space="0" w:color="005B52"/>
              <w:bottom w:val="single" w:sz="5" w:space="0" w:color="005B52"/>
              <w:right w:val="single" w:sz="5" w:space="0" w:color="005B52"/>
            </w:tcBorders>
            <w:tcMar>
              <w:top w:w="0" w:type="dxa"/>
              <w:left w:w="20" w:type="dxa"/>
              <w:bottom w:w="0" w:type="dxa"/>
              <w:right w:w="20" w:type="dxa"/>
            </w:tcMar>
            <w:vAlign w:val="center"/>
          </w:tcPr>
          <w:p w14:paraId="000004B8" w14:textId="77777777" w:rsidR="00031725" w:rsidRDefault="00000000">
            <w:pPr>
              <w:spacing w:after="0" w:line="240" w:lineRule="auto"/>
              <w:rPr>
                <w:sz w:val="18"/>
                <w:szCs w:val="18"/>
              </w:rPr>
            </w:pPr>
            <w:r>
              <w:rPr>
                <w:sz w:val="18"/>
                <w:szCs w:val="18"/>
              </w:rPr>
              <w:t>A vocabulary for describing the structure, content and validation rules of JSON (JavaScript Object Notation) data, used to check that a metadata record or dataset conforms to an expected format. (Source:</w:t>
            </w:r>
            <w:hyperlink r:id="rId118">
              <w:r w:rsidR="00031725">
                <w:rPr>
                  <w:color w:val="1155CC"/>
                  <w:sz w:val="18"/>
                  <w:szCs w:val="18"/>
                  <w:u w:val="single"/>
                </w:rPr>
                <w:t xml:space="preserve"> JSON Schema</w:t>
              </w:r>
            </w:hyperlink>
            <w:r>
              <w:rPr>
                <w:sz w:val="18"/>
                <w:szCs w:val="18"/>
              </w:rPr>
              <w:t>)</w:t>
            </w:r>
          </w:p>
        </w:tc>
      </w:tr>
      <w:tr w:rsidR="00031725" w14:paraId="24F52EBD" w14:textId="77777777">
        <w:trPr>
          <w:trHeight w:val="780"/>
        </w:trPr>
        <w:tc>
          <w:tcPr>
            <w:tcW w:w="2280" w:type="dxa"/>
            <w:tcBorders>
              <w:top w:val="single" w:sz="5" w:space="0" w:color="005B52"/>
              <w:left w:val="single" w:sz="5" w:space="0" w:color="005B52"/>
              <w:bottom w:val="single" w:sz="5" w:space="0" w:color="005B52"/>
              <w:right w:val="single" w:sz="5" w:space="0" w:color="005B52"/>
            </w:tcBorders>
            <w:shd w:val="clear" w:color="auto" w:fill="EDF7F5"/>
            <w:tcMar>
              <w:top w:w="0" w:type="dxa"/>
              <w:left w:w="20" w:type="dxa"/>
              <w:bottom w:w="0" w:type="dxa"/>
              <w:right w:w="20" w:type="dxa"/>
            </w:tcMar>
            <w:vAlign w:val="center"/>
          </w:tcPr>
          <w:p w14:paraId="000004B9" w14:textId="77777777" w:rsidR="00031725" w:rsidRDefault="00000000">
            <w:pPr>
              <w:spacing w:after="0" w:line="240" w:lineRule="auto"/>
              <w:rPr>
                <w:b/>
                <w:bCs/>
                <w:sz w:val="18"/>
                <w:szCs w:val="18"/>
              </w:rPr>
            </w:pPr>
            <w:r>
              <w:rPr>
                <w:b/>
                <w:bCs/>
                <w:sz w:val="18"/>
                <w:szCs w:val="18"/>
              </w:rPr>
              <w:t>Knowledge Graph</w:t>
            </w:r>
          </w:p>
        </w:tc>
        <w:tc>
          <w:tcPr>
            <w:tcW w:w="6840" w:type="dxa"/>
            <w:tcBorders>
              <w:top w:val="single" w:sz="5" w:space="0" w:color="005B52"/>
              <w:left w:val="single" w:sz="5" w:space="0" w:color="005B52"/>
              <w:bottom w:val="single" w:sz="5" w:space="0" w:color="005B52"/>
              <w:right w:val="single" w:sz="5" w:space="0" w:color="005B52"/>
            </w:tcBorders>
            <w:tcMar>
              <w:top w:w="0" w:type="dxa"/>
              <w:left w:w="20" w:type="dxa"/>
              <w:bottom w:w="0" w:type="dxa"/>
              <w:right w:w="20" w:type="dxa"/>
            </w:tcMar>
            <w:vAlign w:val="center"/>
          </w:tcPr>
          <w:p w14:paraId="000004BA" w14:textId="77777777" w:rsidR="00031725" w:rsidRDefault="00000000">
            <w:pPr>
              <w:spacing w:after="0" w:line="240" w:lineRule="auto"/>
              <w:rPr>
                <w:sz w:val="18"/>
                <w:szCs w:val="18"/>
              </w:rPr>
            </w:pPr>
            <w:r>
              <w:rPr>
                <w:sz w:val="18"/>
                <w:szCs w:val="18"/>
              </w:rPr>
              <w:t>A structured network of entities, such as datasets, people, organisations or concepts, and the relationships between them, represented in a machine-readable form that supports search, discovery and reasoning. (Source:</w:t>
            </w:r>
            <w:hyperlink r:id="rId119">
              <w:r w:rsidR="00031725">
                <w:rPr>
                  <w:color w:val="1155CC"/>
                  <w:sz w:val="18"/>
                  <w:szCs w:val="18"/>
                  <w:u w:val="single"/>
                </w:rPr>
                <w:t xml:space="preserve"> W3C</w:t>
              </w:r>
            </w:hyperlink>
            <w:r>
              <w:rPr>
                <w:sz w:val="18"/>
                <w:szCs w:val="18"/>
              </w:rPr>
              <w:t>)</w:t>
            </w:r>
          </w:p>
        </w:tc>
      </w:tr>
      <w:tr w:rsidR="00031725" w14:paraId="6D0ED336" w14:textId="77777777">
        <w:trPr>
          <w:trHeight w:val="780"/>
        </w:trPr>
        <w:tc>
          <w:tcPr>
            <w:tcW w:w="2280" w:type="dxa"/>
            <w:tcBorders>
              <w:top w:val="single" w:sz="5" w:space="0" w:color="005B52"/>
              <w:left w:val="single" w:sz="5" w:space="0" w:color="005B52"/>
              <w:bottom w:val="single" w:sz="5" w:space="0" w:color="005B52"/>
              <w:right w:val="single" w:sz="5" w:space="0" w:color="005B52"/>
            </w:tcBorders>
            <w:shd w:val="clear" w:color="auto" w:fill="EDF7F5"/>
            <w:tcMar>
              <w:top w:w="0" w:type="dxa"/>
              <w:left w:w="20" w:type="dxa"/>
              <w:bottom w:w="0" w:type="dxa"/>
              <w:right w:w="20" w:type="dxa"/>
            </w:tcMar>
            <w:vAlign w:val="center"/>
          </w:tcPr>
          <w:p w14:paraId="000004BB" w14:textId="77777777" w:rsidR="00031725" w:rsidRDefault="00000000">
            <w:pPr>
              <w:spacing w:after="0" w:line="240" w:lineRule="auto"/>
              <w:rPr>
                <w:b/>
                <w:bCs/>
                <w:sz w:val="18"/>
                <w:szCs w:val="18"/>
              </w:rPr>
            </w:pPr>
            <w:r>
              <w:rPr>
                <w:b/>
                <w:bCs/>
                <w:sz w:val="18"/>
                <w:szCs w:val="18"/>
              </w:rPr>
              <w:t>Machine-readable</w:t>
            </w:r>
          </w:p>
        </w:tc>
        <w:tc>
          <w:tcPr>
            <w:tcW w:w="6840" w:type="dxa"/>
            <w:tcBorders>
              <w:top w:val="single" w:sz="5" w:space="0" w:color="005B52"/>
              <w:left w:val="single" w:sz="5" w:space="0" w:color="005B52"/>
              <w:bottom w:val="single" w:sz="5" w:space="0" w:color="005B52"/>
              <w:right w:val="single" w:sz="5" w:space="0" w:color="005B52"/>
            </w:tcBorders>
            <w:tcMar>
              <w:top w:w="0" w:type="dxa"/>
              <w:left w:w="20" w:type="dxa"/>
              <w:bottom w:w="0" w:type="dxa"/>
              <w:right w:w="20" w:type="dxa"/>
            </w:tcMar>
            <w:vAlign w:val="center"/>
          </w:tcPr>
          <w:p w14:paraId="000004BC" w14:textId="77777777" w:rsidR="00031725" w:rsidRDefault="00000000">
            <w:pPr>
              <w:spacing w:after="0" w:line="240" w:lineRule="auto"/>
              <w:rPr>
                <w:sz w:val="18"/>
                <w:szCs w:val="18"/>
              </w:rPr>
            </w:pPr>
            <w:r>
              <w:rPr>
                <w:sz w:val="18"/>
                <w:szCs w:val="18"/>
              </w:rPr>
              <w:t>Describes information that is structured and formatted so that it can be automatically read, parsed and processed by computer systems, as distinct from formats intended primarily for human reading. (Source:</w:t>
            </w:r>
            <w:hyperlink r:id="rId120">
              <w:r w:rsidR="00031725">
                <w:rPr>
                  <w:color w:val="1155CC"/>
                  <w:sz w:val="18"/>
                  <w:szCs w:val="18"/>
                  <w:u w:val="single"/>
                </w:rPr>
                <w:t xml:space="preserve"> UNESCO Recommendation on Open Science</w:t>
              </w:r>
            </w:hyperlink>
            <w:r>
              <w:rPr>
                <w:sz w:val="18"/>
                <w:szCs w:val="18"/>
              </w:rPr>
              <w:t>)</w:t>
            </w:r>
          </w:p>
        </w:tc>
      </w:tr>
      <w:tr w:rsidR="00031725" w14:paraId="6CC9B48D" w14:textId="77777777">
        <w:trPr>
          <w:trHeight w:val="1395"/>
        </w:trPr>
        <w:tc>
          <w:tcPr>
            <w:tcW w:w="2280" w:type="dxa"/>
            <w:tcBorders>
              <w:top w:val="single" w:sz="5" w:space="0" w:color="005B52"/>
              <w:left w:val="single" w:sz="5" w:space="0" w:color="005B52"/>
              <w:bottom w:val="single" w:sz="5" w:space="0" w:color="005B52"/>
              <w:right w:val="single" w:sz="5" w:space="0" w:color="005B52"/>
            </w:tcBorders>
            <w:shd w:val="clear" w:color="auto" w:fill="EDF7F5"/>
            <w:tcMar>
              <w:top w:w="0" w:type="dxa"/>
              <w:left w:w="20" w:type="dxa"/>
              <w:bottom w:w="0" w:type="dxa"/>
              <w:right w:w="20" w:type="dxa"/>
            </w:tcMar>
            <w:vAlign w:val="center"/>
          </w:tcPr>
          <w:p w14:paraId="000004BD" w14:textId="77777777" w:rsidR="00031725" w:rsidRDefault="00000000">
            <w:pPr>
              <w:spacing w:after="0" w:line="240" w:lineRule="auto"/>
              <w:rPr>
                <w:b/>
                <w:bCs/>
                <w:sz w:val="18"/>
                <w:szCs w:val="18"/>
              </w:rPr>
            </w:pPr>
            <w:r>
              <w:rPr>
                <w:b/>
                <w:bCs/>
                <w:sz w:val="18"/>
                <w:szCs w:val="18"/>
              </w:rPr>
              <w:t>Metadata</w:t>
            </w:r>
          </w:p>
        </w:tc>
        <w:tc>
          <w:tcPr>
            <w:tcW w:w="6840" w:type="dxa"/>
            <w:tcBorders>
              <w:top w:val="single" w:sz="5" w:space="0" w:color="005B52"/>
              <w:left w:val="single" w:sz="5" w:space="0" w:color="005B52"/>
              <w:bottom w:val="single" w:sz="5" w:space="0" w:color="005B52"/>
              <w:right w:val="single" w:sz="5" w:space="0" w:color="005B52"/>
            </w:tcBorders>
            <w:tcMar>
              <w:top w:w="0" w:type="dxa"/>
              <w:left w:w="20" w:type="dxa"/>
              <w:bottom w:w="0" w:type="dxa"/>
              <w:right w:w="20" w:type="dxa"/>
            </w:tcMar>
            <w:vAlign w:val="center"/>
          </w:tcPr>
          <w:p w14:paraId="000004BE" w14:textId="77777777" w:rsidR="00031725" w:rsidRDefault="00000000">
            <w:pPr>
              <w:spacing w:after="0" w:line="240" w:lineRule="auto"/>
              <w:rPr>
                <w:sz w:val="18"/>
                <w:szCs w:val="18"/>
              </w:rPr>
            </w:pPr>
            <w:r>
              <w:rPr>
                <w:sz w:val="18"/>
                <w:szCs w:val="18"/>
              </w:rPr>
              <w:t>Structured information that describes, explains, or locates a resource, enabling it to be found, understood, and reused. (Source:</w:t>
            </w:r>
            <w:hyperlink r:id="rId121">
              <w:r w:rsidR="00031725">
                <w:rPr>
                  <w:color w:val="1155CC"/>
                  <w:sz w:val="18"/>
                  <w:szCs w:val="18"/>
                  <w:u w:val="single"/>
                </w:rPr>
                <w:t xml:space="preserve"> Dublin Core Metadata Initiative / ISO 15836</w:t>
              </w:r>
            </w:hyperlink>
            <w:r>
              <w:rPr>
                <w:sz w:val="18"/>
                <w:szCs w:val="18"/>
              </w:rPr>
              <w:t>). For the purposes of this Blueprint, metadata is understood in its full scope, encompassing not only discovery fields but variable definitions, data structure, provenance, quality assessments, access conditions, and applicable governance constraints. See Section 3.1.1.</w:t>
            </w:r>
          </w:p>
        </w:tc>
      </w:tr>
      <w:tr w:rsidR="00031725" w14:paraId="112081AF" w14:textId="77777777">
        <w:trPr>
          <w:trHeight w:val="780"/>
        </w:trPr>
        <w:tc>
          <w:tcPr>
            <w:tcW w:w="2280" w:type="dxa"/>
            <w:tcBorders>
              <w:top w:val="single" w:sz="5" w:space="0" w:color="005B52"/>
              <w:left w:val="single" w:sz="5" w:space="0" w:color="005B52"/>
              <w:bottom w:val="single" w:sz="5" w:space="0" w:color="005B52"/>
              <w:right w:val="single" w:sz="5" w:space="0" w:color="005B52"/>
            </w:tcBorders>
            <w:shd w:val="clear" w:color="auto" w:fill="EDF7F5"/>
            <w:tcMar>
              <w:top w:w="0" w:type="dxa"/>
              <w:left w:w="20" w:type="dxa"/>
              <w:bottom w:w="0" w:type="dxa"/>
              <w:right w:w="20" w:type="dxa"/>
            </w:tcMar>
            <w:vAlign w:val="center"/>
          </w:tcPr>
          <w:p w14:paraId="000004BF" w14:textId="77777777" w:rsidR="00031725" w:rsidRDefault="00000000">
            <w:pPr>
              <w:spacing w:after="0" w:line="240" w:lineRule="auto"/>
              <w:rPr>
                <w:b/>
                <w:bCs/>
                <w:sz w:val="18"/>
                <w:szCs w:val="18"/>
              </w:rPr>
            </w:pPr>
            <w:r>
              <w:rPr>
                <w:b/>
                <w:bCs/>
                <w:sz w:val="18"/>
                <w:szCs w:val="18"/>
              </w:rPr>
              <w:t>MLCommons Croissant</w:t>
            </w:r>
          </w:p>
        </w:tc>
        <w:tc>
          <w:tcPr>
            <w:tcW w:w="6840" w:type="dxa"/>
            <w:tcBorders>
              <w:top w:val="single" w:sz="5" w:space="0" w:color="005B52"/>
              <w:left w:val="single" w:sz="5" w:space="0" w:color="005B52"/>
              <w:bottom w:val="single" w:sz="5" w:space="0" w:color="005B52"/>
              <w:right w:val="single" w:sz="5" w:space="0" w:color="005B52"/>
            </w:tcBorders>
            <w:tcMar>
              <w:top w:w="0" w:type="dxa"/>
              <w:left w:w="20" w:type="dxa"/>
              <w:bottom w:w="0" w:type="dxa"/>
              <w:right w:w="20" w:type="dxa"/>
            </w:tcMar>
            <w:vAlign w:val="center"/>
          </w:tcPr>
          <w:p w14:paraId="000004C0" w14:textId="77777777" w:rsidR="00031725" w:rsidRDefault="00000000">
            <w:pPr>
              <w:spacing w:after="0" w:line="240" w:lineRule="auto"/>
              <w:rPr>
                <w:sz w:val="18"/>
                <w:szCs w:val="18"/>
              </w:rPr>
            </w:pPr>
            <w:r>
              <w:rPr>
                <w:sz w:val="18"/>
                <w:szCs w:val="18"/>
              </w:rPr>
              <w:t>A community-developed, open metadata format for describing machine learning datasets in a structured, machine-readable way, designed to make datasets easier to find, load and use across different tools. (Source:</w:t>
            </w:r>
            <w:hyperlink r:id="rId122">
              <w:r w:rsidR="00031725">
                <w:rPr>
                  <w:color w:val="1155CC"/>
                  <w:sz w:val="18"/>
                  <w:szCs w:val="18"/>
                  <w:u w:val="single"/>
                </w:rPr>
                <w:t xml:space="preserve"> MLCommons</w:t>
              </w:r>
            </w:hyperlink>
            <w:r>
              <w:rPr>
                <w:sz w:val="18"/>
                <w:szCs w:val="18"/>
              </w:rPr>
              <w:t>)</w:t>
            </w:r>
          </w:p>
        </w:tc>
      </w:tr>
      <w:tr w:rsidR="00031725" w14:paraId="271BBED0" w14:textId="77777777">
        <w:trPr>
          <w:trHeight w:val="780"/>
        </w:trPr>
        <w:tc>
          <w:tcPr>
            <w:tcW w:w="2280" w:type="dxa"/>
            <w:tcBorders>
              <w:top w:val="single" w:sz="5" w:space="0" w:color="005B52"/>
              <w:left w:val="single" w:sz="5" w:space="0" w:color="005B52"/>
              <w:bottom w:val="single" w:sz="5" w:space="0" w:color="005B52"/>
              <w:right w:val="single" w:sz="5" w:space="0" w:color="005B52"/>
            </w:tcBorders>
            <w:shd w:val="clear" w:color="auto" w:fill="EDF7F5"/>
            <w:tcMar>
              <w:top w:w="0" w:type="dxa"/>
              <w:left w:w="20" w:type="dxa"/>
              <w:bottom w:w="0" w:type="dxa"/>
              <w:right w:w="20" w:type="dxa"/>
            </w:tcMar>
            <w:vAlign w:val="center"/>
          </w:tcPr>
          <w:p w14:paraId="000004C1" w14:textId="77777777" w:rsidR="00031725" w:rsidRDefault="00000000">
            <w:pPr>
              <w:spacing w:after="0" w:line="240" w:lineRule="auto"/>
              <w:rPr>
                <w:b/>
                <w:bCs/>
                <w:sz w:val="18"/>
                <w:szCs w:val="18"/>
              </w:rPr>
            </w:pPr>
            <w:r>
              <w:rPr>
                <w:b/>
                <w:bCs/>
                <w:sz w:val="18"/>
                <w:szCs w:val="18"/>
              </w:rPr>
              <w:t>Model Card / Dataset Card</w:t>
            </w:r>
          </w:p>
        </w:tc>
        <w:tc>
          <w:tcPr>
            <w:tcW w:w="6840" w:type="dxa"/>
            <w:tcBorders>
              <w:top w:val="single" w:sz="5" w:space="0" w:color="005B52"/>
              <w:left w:val="single" w:sz="5" w:space="0" w:color="005B52"/>
              <w:bottom w:val="single" w:sz="5" w:space="0" w:color="005B52"/>
              <w:right w:val="single" w:sz="5" w:space="0" w:color="005B52"/>
            </w:tcBorders>
            <w:tcMar>
              <w:top w:w="0" w:type="dxa"/>
              <w:left w:w="20" w:type="dxa"/>
              <w:bottom w:w="0" w:type="dxa"/>
              <w:right w:w="20" w:type="dxa"/>
            </w:tcMar>
            <w:vAlign w:val="center"/>
          </w:tcPr>
          <w:p w14:paraId="000004C2" w14:textId="77777777" w:rsidR="00031725" w:rsidRDefault="00000000">
            <w:pPr>
              <w:spacing w:after="0" w:line="240" w:lineRule="auto"/>
              <w:rPr>
                <w:sz w:val="18"/>
                <w:szCs w:val="18"/>
              </w:rPr>
            </w:pPr>
            <w:r>
              <w:rPr>
                <w:sz w:val="18"/>
                <w:szCs w:val="18"/>
              </w:rPr>
              <w:t>A short, structured document accompanying a machine learning model or dataset that records its intended use, composition, known limitations and evaluation results, intended to improve transparency and reusability. (Source:</w:t>
            </w:r>
            <w:hyperlink r:id="rId123">
              <w:r w:rsidR="00031725">
                <w:rPr>
                  <w:color w:val="1155CC"/>
                  <w:sz w:val="18"/>
                  <w:szCs w:val="18"/>
                  <w:u w:val="single"/>
                </w:rPr>
                <w:t xml:space="preserve"> Hugging Face</w:t>
              </w:r>
            </w:hyperlink>
            <w:r>
              <w:rPr>
                <w:sz w:val="18"/>
                <w:szCs w:val="18"/>
              </w:rPr>
              <w:t>)</w:t>
            </w:r>
          </w:p>
        </w:tc>
      </w:tr>
      <w:tr w:rsidR="00031725" w14:paraId="6E73F9CA" w14:textId="77777777">
        <w:trPr>
          <w:trHeight w:val="990"/>
        </w:trPr>
        <w:tc>
          <w:tcPr>
            <w:tcW w:w="2280" w:type="dxa"/>
            <w:tcBorders>
              <w:top w:val="single" w:sz="5" w:space="0" w:color="005B52"/>
              <w:left w:val="single" w:sz="5" w:space="0" w:color="005B52"/>
              <w:bottom w:val="single" w:sz="5" w:space="0" w:color="005B52"/>
              <w:right w:val="single" w:sz="5" w:space="0" w:color="005B52"/>
            </w:tcBorders>
            <w:shd w:val="clear" w:color="auto" w:fill="EDF7F5"/>
            <w:tcMar>
              <w:top w:w="0" w:type="dxa"/>
              <w:left w:w="20" w:type="dxa"/>
              <w:bottom w:w="0" w:type="dxa"/>
              <w:right w:w="20" w:type="dxa"/>
            </w:tcMar>
            <w:vAlign w:val="center"/>
          </w:tcPr>
          <w:p w14:paraId="000004C3" w14:textId="77777777" w:rsidR="00031725" w:rsidRDefault="00000000">
            <w:pPr>
              <w:spacing w:after="0" w:line="240" w:lineRule="auto"/>
              <w:rPr>
                <w:b/>
                <w:bCs/>
                <w:sz w:val="18"/>
                <w:szCs w:val="18"/>
              </w:rPr>
            </w:pPr>
            <w:r>
              <w:rPr>
                <w:b/>
                <w:bCs/>
                <w:sz w:val="18"/>
                <w:szCs w:val="18"/>
              </w:rPr>
              <w:t>Nanopublication</w:t>
            </w:r>
          </w:p>
        </w:tc>
        <w:tc>
          <w:tcPr>
            <w:tcW w:w="6840" w:type="dxa"/>
            <w:tcBorders>
              <w:top w:val="single" w:sz="5" w:space="0" w:color="005B52"/>
              <w:left w:val="single" w:sz="5" w:space="0" w:color="005B52"/>
              <w:bottom w:val="single" w:sz="5" w:space="0" w:color="005B52"/>
              <w:right w:val="single" w:sz="5" w:space="0" w:color="005B52"/>
            </w:tcBorders>
            <w:tcMar>
              <w:top w:w="0" w:type="dxa"/>
              <w:left w:w="20" w:type="dxa"/>
              <w:bottom w:w="0" w:type="dxa"/>
              <w:right w:w="20" w:type="dxa"/>
            </w:tcMar>
            <w:vAlign w:val="center"/>
          </w:tcPr>
          <w:p w14:paraId="000004C4" w14:textId="77777777" w:rsidR="00031725" w:rsidRDefault="00000000">
            <w:pPr>
              <w:spacing w:after="0" w:line="240" w:lineRule="auto"/>
              <w:rPr>
                <w:sz w:val="18"/>
                <w:szCs w:val="18"/>
              </w:rPr>
            </w:pPr>
            <w:r>
              <w:rPr>
                <w:sz w:val="18"/>
                <w:szCs w:val="18"/>
              </w:rPr>
              <w:t>A small, citable unit of scientific knowledge expressed as a single machine-readable assertion together with information about its provenance and supporting evidence, designed to be linked together to form larger knowledge graphs. (Source:</w:t>
            </w:r>
            <w:hyperlink r:id="rId124">
              <w:r w:rsidR="00031725">
                <w:rPr>
                  <w:color w:val="1155CC"/>
                  <w:sz w:val="18"/>
                  <w:szCs w:val="18"/>
                  <w:u w:val="single"/>
                </w:rPr>
                <w:t xml:space="preserve"> Nanopublications</w:t>
              </w:r>
            </w:hyperlink>
            <w:r>
              <w:rPr>
                <w:sz w:val="18"/>
                <w:szCs w:val="18"/>
              </w:rPr>
              <w:t>)</w:t>
            </w:r>
          </w:p>
        </w:tc>
      </w:tr>
      <w:tr w:rsidR="00031725" w14:paraId="7242BE7B" w14:textId="77777777">
        <w:trPr>
          <w:trHeight w:val="780"/>
        </w:trPr>
        <w:tc>
          <w:tcPr>
            <w:tcW w:w="2280" w:type="dxa"/>
            <w:tcBorders>
              <w:top w:val="single" w:sz="5" w:space="0" w:color="005B52"/>
              <w:left w:val="single" w:sz="5" w:space="0" w:color="005B52"/>
              <w:bottom w:val="single" w:sz="5" w:space="0" w:color="005B52"/>
              <w:right w:val="single" w:sz="5" w:space="0" w:color="005B52"/>
            </w:tcBorders>
            <w:shd w:val="clear" w:color="auto" w:fill="EDF7F5"/>
            <w:tcMar>
              <w:top w:w="0" w:type="dxa"/>
              <w:left w:w="20" w:type="dxa"/>
              <w:bottom w:w="0" w:type="dxa"/>
              <w:right w:w="20" w:type="dxa"/>
            </w:tcMar>
            <w:vAlign w:val="center"/>
          </w:tcPr>
          <w:p w14:paraId="000004C5" w14:textId="77777777" w:rsidR="00031725" w:rsidRDefault="00000000">
            <w:pPr>
              <w:spacing w:after="0" w:line="240" w:lineRule="auto"/>
              <w:rPr>
                <w:b/>
                <w:bCs/>
                <w:sz w:val="18"/>
                <w:szCs w:val="18"/>
              </w:rPr>
            </w:pPr>
            <w:r>
              <w:rPr>
                <w:b/>
                <w:bCs/>
                <w:sz w:val="18"/>
                <w:szCs w:val="18"/>
              </w:rPr>
              <w:t>NIST (National Institute of Standards and Technology)</w:t>
            </w:r>
          </w:p>
        </w:tc>
        <w:tc>
          <w:tcPr>
            <w:tcW w:w="6840" w:type="dxa"/>
            <w:tcBorders>
              <w:top w:val="single" w:sz="5" w:space="0" w:color="005B52"/>
              <w:left w:val="single" w:sz="5" w:space="0" w:color="005B52"/>
              <w:bottom w:val="single" w:sz="5" w:space="0" w:color="005B52"/>
              <w:right w:val="single" w:sz="5" w:space="0" w:color="005B52"/>
            </w:tcBorders>
            <w:tcMar>
              <w:top w:w="0" w:type="dxa"/>
              <w:left w:w="20" w:type="dxa"/>
              <w:bottom w:w="0" w:type="dxa"/>
              <w:right w:w="20" w:type="dxa"/>
            </w:tcMar>
            <w:vAlign w:val="center"/>
          </w:tcPr>
          <w:p w14:paraId="000004C6" w14:textId="77777777" w:rsidR="00031725" w:rsidRDefault="00000000">
            <w:pPr>
              <w:spacing w:after="0" w:line="240" w:lineRule="auto"/>
              <w:rPr>
                <w:sz w:val="18"/>
                <w:szCs w:val="18"/>
              </w:rPr>
            </w:pPr>
            <w:r>
              <w:rPr>
                <w:sz w:val="18"/>
                <w:szCs w:val="18"/>
              </w:rPr>
              <w:t>A US government agency that develops widely adopted standards and frameworks, including in cybersecurity and AI risk management, often used as a reference baseline for security practice internationally. (Source:</w:t>
            </w:r>
            <w:hyperlink r:id="rId125">
              <w:r w:rsidR="00031725">
                <w:rPr>
                  <w:color w:val="1155CC"/>
                  <w:sz w:val="18"/>
                  <w:szCs w:val="18"/>
                  <w:u w:val="single"/>
                </w:rPr>
                <w:t xml:space="preserve"> NIST</w:t>
              </w:r>
            </w:hyperlink>
            <w:r>
              <w:rPr>
                <w:sz w:val="18"/>
                <w:szCs w:val="18"/>
              </w:rPr>
              <w:t>)</w:t>
            </w:r>
          </w:p>
        </w:tc>
      </w:tr>
      <w:tr w:rsidR="00031725" w14:paraId="05925785" w14:textId="77777777">
        <w:trPr>
          <w:trHeight w:val="780"/>
        </w:trPr>
        <w:tc>
          <w:tcPr>
            <w:tcW w:w="2280" w:type="dxa"/>
            <w:tcBorders>
              <w:top w:val="single" w:sz="5" w:space="0" w:color="005B52"/>
              <w:left w:val="single" w:sz="5" w:space="0" w:color="005B52"/>
              <w:bottom w:val="single" w:sz="5" w:space="0" w:color="005B52"/>
              <w:right w:val="single" w:sz="5" w:space="0" w:color="005B52"/>
            </w:tcBorders>
            <w:shd w:val="clear" w:color="auto" w:fill="EDF7F5"/>
            <w:tcMar>
              <w:top w:w="0" w:type="dxa"/>
              <w:left w:w="20" w:type="dxa"/>
              <w:bottom w:w="0" w:type="dxa"/>
              <w:right w:w="20" w:type="dxa"/>
            </w:tcMar>
            <w:vAlign w:val="center"/>
          </w:tcPr>
          <w:p w14:paraId="000004C7" w14:textId="77777777" w:rsidR="00031725" w:rsidRDefault="00000000">
            <w:pPr>
              <w:spacing w:after="0" w:line="240" w:lineRule="auto"/>
              <w:rPr>
                <w:b/>
                <w:bCs/>
                <w:sz w:val="18"/>
                <w:szCs w:val="18"/>
              </w:rPr>
            </w:pPr>
            <w:r>
              <w:rPr>
                <w:b/>
                <w:bCs/>
                <w:sz w:val="18"/>
                <w:szCs w:val="18"/>
              </w:rPr>
              <w:t>ODRL (Open Digital Rights Language)</w:t>
            </w:r>
          </w:p>
        </w:tc>
        <w:tc>
          <w:tcPr>
            <w:tcW w:w="6840" w:type="dxa"/>
            <w:tcBorders>
              <w:top w:val="single" w:sz="5" w:space="0" w:color="005B52"/>
              <w:left w:val="single" w:sz="5" w:space="0" w:color="005B52"/>
              <w:bottom w:val="single" w:sz="5" w:space="0" w:color="005B52"/>
              <w:right w:val="single" w:sz="5" w:space="0" w:color="005B52"/>
            </w:tcBorders>
            <w:tcMar>
              <w:top w:w="0" w:type="dxa"/>
              <w:left w:w="20" w:type="dxa"/>
              <w:bottom w:w="0" w:type="dxa"/>
              <w:right w:w="20" w:type="dxa"/>
            </w:tcMar>
            <w:vAlign w:val="center"/>
          </w:tcPr>
          <w:p w14:paraId="000004C8" w14:textId="77777777" w:rsidR="00031725" w:rsidRDefault="00000000">
            <w:pPr>
              <w:spacing w:after="0" w:line="240" w:lineRule="auto"/>
              <w:rPr>
                <w:sz w:val="18"/>
                <w:szCs w:val="18"/>
              </w:rPr>
            </w:pPr>
            <w:r>
              <w:rPr>
                <w:sz w:val="18"/>
                <w:szCs w:val="18"/>
              </w:rPr>
              <w:t>A standardised, machine-readable language for expressing permissions, prohibitions and obligations relating to the use of digital content and data, such as licensing or access conditions. (Source:</w:t>
            </w:r>
            <w:hyperlink r:id="rId126">
              <w:r w:rsidR="00031725">
                <w:rPr>
                  <w:color w:val="1155CC"/>
                  <w:sz w:val="18"/>
                  <w:szCs w:val="18"/>
                  <w:u w:val="single"/>
                </w:rPr>
                <w:t xml:space="preserve"> W3C</w:t>
              </w:r>
            </w:hyperlink>
            <w:r>
              <w:rPr>
                <w:sz w:val="18"/>
                <w:szCs w:val="18"/>
              </w:rPr>
              <w:t>)</w:t>
            </w:r>
          </w:p>
        </w:tc>
      </w:tr>
      <w:tr w:rsidR="00031725" w14:paraId="5A342CE8" w14:textId="77777777">
        <w:trPr>
          <w:trHeight w:val="780"/>
        </w:trPr>
        <w:tc>
          <w:tcPr>
            <w:tcW w:w="2280" w:type="dxa"/>
            <w:tcBorders>
              <w:top w:val="single" w:sz="5" w:space="0" w:color="005B52"/>
              <w:left w:val="single" w:sz="5" w:space="0" w:color="005B52"/>
              <w:bottom w:val="single" w:sz="5" w:space="0" w:color="005B52"/>
              <w:right w:val="single" w:sz="5" w:space="0" w:color="005B52"/>
            </w:tcBorders>
            <w:shd w:val="clear" w:color="auto" w:fill="EDF7F5"/>
            <w:tcMar>
              <w:top w:w="0" w:type="dxa"/>
              <w:left w:w="20" w:type="dxa"/>
              <w:bottom w:w="0" w:type="dxa"/>
              <w:right w:w="20" w:type="dxa"/>
            </w:tcMar>
            <w:vAlign w:val="center"/>
          </w:tcPr>
          <w:p w14:paraId="000004C9" w14:textId="77777777" w:rsidR="00031725" w:rsidRDefault="00000000">
            <w:pPr>
              <w:spacing w:after="0" w:line="240" w:lineRule="auto"/>
              <w:rPr>
                <w:b/>
                <w:bCs/>
                <w:sz w:val="18"/>
                <w:szCs w:val="18"/>
              </w:rPr>
            </w:pPr>
            <w:r>
              <w:rPr>
                <w:b/>
                <w:bCs/>
                <w:sz w:val="18"/>
                <w:szCs w:val="18"/>
              </w:rPr>
              <w:t>Ontology</w:t>
            </w:r>
          </w:p>
        </w:tc>
        <w:tc>
          <w:tcPr>
            <w:tcW w:w="6840" w:type="dxa"/>
            <w:tcBorders>
              <w:top w:val="single" w:sz="5" w:space="0" w:color="005B52"/>
              <w:left w:val="single" w:sz="5" w:space="0" w:color="005B52"/>
              <w:bottom w:val="single" w:sz="5" w:space="0" w:color="005B52"/>
              <w:right w:val="single" w:sz="5" w:space="0" w:color="005B52"/>
            </w:tcBorders>
            <w:tcMar>
              <w:top w:w="0" w:type="dxa"/>
              <w:left w:w="20" w:type="dxa"/>
              <w:bottom w:w="0" w:type="dxa"/>
              <w:right w:w="20" w:type="dxa"/>
            </w:tcMar>
            <w:vAlign w:val="center"/>
          </w:tcPr>
          <w:p w14:paraId="000004CA" w14:textId="77777777" w:rsidR="00031725" w:rsidRDefault="00000000">
            <w:pPr>
              <w:spacing w:after="0" w:line="240" w:lineRule="auto"/>
              <w:rPr>
                <w:sz w:val="18"/>
                <w:szCs w:val="18"/>
              </w:rPr>
            </w:pPr>
            <w:r>
              <w:rPr>
                <w:sz w:val="18"/>
                <w:szCs w:val="18"/>
              </w:rPr>
              <w:t>A formal, machine-readable representation of the concepts within a domain and the relationships between them, used to support consistent classification, search and integration of data across systems. (Source:</w:t>
            </w:r>
            <w:hyperlink r:id="rId127">
              <w:r w:rsidR="00031725">
                <w:rPr>
                  <w:color w:val="1155CC"/>
                  <w:sz w:val="18"/>
                  <w:szCs w:val="18"/>
                  <w:u w:val="single"/>
                </w:rPr>
                <w:t xml:space="preserve"> W3C Semantic Web</w:t>
              </w:r>
            </w:hyperlink>
            <w:r>
              <w:rPr>
                <w:sz w:val="18"/>
                <w:szCs w:val="18"/>
              </w:rPr>
              <w:t>)</w:t>
            </w:r>
          </w:p>
        </w:tc>
      </w:tr>
      <w:tr w:rsidR="00031725" w14:paraId="1EABA4D6" w14:textId="77777777">
        <w:trPr>
          <w:trHeight w:val="990"/>
        </w:trPr>
        <w:tc>
          <w:tcPr>
            <w:tcW w:w="2280" w:type="dxa"/>
            <w:tcBorders>
              <w:top w:val="single" w:sz="5" w:space="0" w:color="005B52"/>
              <w:left w:val="single" w:sz="5" w:space="0" w:color="005B52"/>
              <w:bottom w:val="single" w:sz="5" w:space="0" w:color="005B52"/>
              <w:right w:val="single" w:sz="5" w:space="0" w:color="005B52"/>
            </w:tcBorders>
            <w:shd w:val="clear" w:color="auto" w:fill="EDF7F5"/>
            <w:tcMar>
              <w:top w:w="0" w:type="dxa"/>
              <w:left w:w="20" w:type="dxa"/>
              <w:bottom w:w="0" w:type="dxa"/>
              <w:right w:w="20" w:type="dxa"/>
            </w:tcMar>
            <w:vAlign w:val="center"/>
          </w:tcPr>
          <w:p w14:paraId="000004CB" w14:textId="77777777" w:rsidR="00031725" w:rsidRDefault="00000000">
            <w:pPr>
              <w:spacing w:after="0" w:line="240" w:lineRule="auto"/>
              <w:rPr>
                <w:b/>
                <w:bCs/>
                <w:sz w:val="18"/>
                <w:szCs w:val="18"/>
              </w:rPr>
            </w:pPr>
            <w:r>
              <w:rPr>
                <w:b/>
                <w:bCs/>
                <w:sz w:val="18"/>
                <w:szCs w:val="18"/>
              </w:rPr>
              <w:lastRenderedPageBreak/>
              <w:t>Open Science</w:t>
            </w:r>
          </w:p>
        </w:tc>
        <w:tc>
          <w:tcPr>
            <w:tcW w:w="6840" w:type="dxa"/>
            <w:tcBorders>
              <w:top w:val="single" w:sz="5" w:space="0" w:color="005B52"/>
              <w:left w:val="single" w:sz="5" w:space="0" w:color="005B52"/>
              <w:bottom w:val="single" w:sz="5" w:space="0" w:color="005B52"/>
              <w:right w:val="single" w:sz="5" w:space="0" w:color="005B52"/>
            </w:tcBorders>
            <w:tcMar>
              <w:top w:w="0" w:type="dxa"/>
              <w:left w:w="20" w:type="dxa"/>
              <w:bottom w:w="0" w:type="dxa"/>
              <w:right w:w="20" w:type="dxa"/>
            </w:tcMar>
            <w:vAlign w:val="center"/>
          </w:tcPr>
          <w:p w14:paraId="000004CC" w14:textId="77777777" w:rsidR="00031725" w:rsidRDefault="00000000">
            <w:pPr>
              <w:spacing w:after="0" w:line="240" w:lineRule="auto"/>
              <w:rPr>
                <w:sz w:val="18"/>
                <w:szCs w:val="18"/>
              </w:rPr>
            </w:pPr>
            <w:r>
              <w:rPr>
                <w:sz w:val="18"/>
                <w:szCs w:val="18"/>
              </w:rPr>
              <w:t>A broad movement and set of practices aimed at making the processes, outputs and tools of research, including publications, data, methods and software, openly available, accessible and reusable for the benefit of science and society. (Source:</w:t>
            </w:r>
            <w:hyperlink r:id="rId128">
              <w:r w:rsidR="00031725">
                <w:rPr>
                  <w:color w:val="1155CC"/>
                  <w:sz w:val="18"/>
                  <w:szCs w:val="18"/>
                  <w:u w:val="single"/>
                </w:rPr>
                <w:t xml:space="preserve"> UNESCO Recommendation on Open Science</w:t>
              </w:r>
            </w:hyperlink>
            <w:r>
              <w:rPr>
                <w:sz w:val="18"/>
                <w:szCs w:val="18"/>
              </w:rPr>
              <w:t>)</w:t>
            </w:r>
          </w:p>
        </w:tc>
      </w:tr>
      <w:tr w:rsidR="00031725" w14:paraId="39DF7671" w14:textId="77777777">
        <w:trPr>
          <w:trHeight w:val="990"/>
        </w:trPr>
        <w:tc>
          <w:tcPr>
            <w:tcW w:w="2280" w:type="dxa"/>
            <w:tcBorders>
              <w:top w:val="single" w:sz="5" w:space="0" w:color="005B52"/>
              <w:left w:val="single" w:sz="5" w:space="0" w:color="005B52"/>
              <w:bottom w:val="single" w:sz="5" w:space="0" w:color="005B52"/>
              <w:right w:val="single" w:sz="5" w:space="0" w:color="005B52"/>
            </w:tcBorders>
            <w:shd w:val="clear" w:color="auto" w:fill="EDF7F5"/>
            <w:tcMar>
              <w:top w:w="0" w:type="dxa"/>
              <w:left w:w="20" w:type="dxa"/>
              <w:bottom w:w="0" w:type="dxa"/>
              <w:right w:w="20" w:type="dxa"/>
            </w:tcMar>
            <w:vAlign w:val="center"/>
          </w:tcPr>
          <w:p w14:paraId="000004CD" w14:textId="2DB782DA" w:rsidR="00031725" w:rsidRDefault="00895C8C">
            <w:pPr>
              <w:spacing w:after="0" w:line="240" w:lineRule="auto"/>
              <w:rPr>
                <w:b/>
                <w:bCs/>
                <w:sz w:val="18"/>
                <w:szCs w:val="18"/>
              </w:rPr>
            </w:pPr>
            <w:r>
              <w:rPr>
                <w:b/>
                <w:bCs/>
                <w:sz w:val="18"/>
                <w:szCs w:val="18"/>
              </w:rPr>
              <w:t>Open-Source Licence (e.g. MIT, Apache 2.0)</w:t>
            </w:r>
          </w:p>
        </w:tc>
        <w:tc>
          <w:tcPr>
            <w:tcW w:w="6840" w:type="dxa"/>
            <w:tcBorders>
              <w:top w:val="single" w:sz="5" w:space="0" w:color="005B52"/>
              <w:left w:val="single" w:sz="5" w:space="0" w:color="005B52"/>
              <w:bottom w:val="single" w:sz="5" w:space="0" w:color="005B52"/>
              <w:right w:val="single" w:sz="5" w:space="0" w:color="005B52"/>
            </w:tcBorders>
            <w:tcMar>
              <w:top w:w="0" w:type="dxa"/>
              <w:left w:w="20" w:type="dxa"/>
              <w:bottom w:w="0" w:type="dxa"/>
              <w:right w:w="20" w:type="dxa"/>
            </w:tcMar>
            <w:vAlign w:val="center"/>
          </w:tcPr>
          <w:p w14:paraId="000004CE" w14:textId="77777777" w:rsidR="00031725" w:rsidRDefault="00000000">
            <w:pPr>
              <w:spacing w:after="0" w:line="240" w:lineRule="auto"/>
              <w:rPr>
                <w:sz w:val="18"/>
                <w:szCs w:val="18"/>
              </w:rPr>
            </w:pPr>
            <w:r>
              <w:rPr>
                <w:sz w:val="18"/>
                <w:szCs w:val="18"/>
              </w:rPr>
              <w:t>A type of software licence that grants users the right to freely use, modify and distribute software. The MIT licence is short and highly permissive; the Apache 2.0 licence is similarly permissive but additionally includes an express patent licence. (Source:</w:t>
            </w:r>
            <w:hyperlink r:id="rId129">
              <w:r w:rsidR="00031725">
                <w:rPr>
                  <w:color w:val="1155CC"/>
                  <w:sz w:val="18"/>
                  <w:szCs w:val="18"/>
                  <w:u w:val="single"/>
                </w:rPr>
                <w:t xml:space="preserve"> Open Source Initiative</w:t>
              </w:r>
            </w:hyperlink>
            <w:r>
              <w:rPr>
                <w:sz w:val="18"/>
                <w:szCs w:val="18"/>
              </w:rPr>
              <w:t>)</w:t>
            </w:r>
          </w:p>
        </w:tc>
      </w:tr>
      <w:tr w:rsidR="00031725" w14:paraId="4CCF9894" w14:textId="77777777">
        <w:trPr>
          <w:trHeight w:val="780"/>
        </w:trPr>
        <w:tc>
          <w:tcPr>
            <w:tcW w:w="2280" w:type="dxa"/>
            <w:tcBorders>
              <w:top w:val="single" w:sz="5" w:space="0" w:color="005B52"/>
              <w:left w:val="single" w:sz="5" w:space="0" w:color="005B52"/>
              <w:bottom w:val="single" w:sz="5" w:space="0" w:color="005B52"/>
              <w:right w:val="single" w:sz="5" w:space="0" w:color="005B52"/>
            </w:tcBorders>
            <w:shd w:val="clear" w:color="auto" w:fill="EDF7F5"/>
            <w:tcMar>
              <w:top w:w="0" w:type="dxa"/>
              <w:left w:w="20" w:type="dxa"/>
              <w:bottom w:w="0" w:type="dxa"/>
              <w:right w:w="20" w:type="dxa"/>
            </w:tcMar>
            <w:vAlign w:val="center"/>
          </w:tcPr>
          <w:p w14:paraId="000004CF" w14:textId="77777777" w:rsidR="00031725" w:rsidRDefault="00000000">
            <w:pPr>
              <w:spacing w:after="0" w:line="240" w:lineRule="auto"/>
              <w:rPr>
                <w:b/>
                <w:bCs/>
                <w:sz w:val="18"/>
                <w:szCs w:val="18"/>
              </w:rPr>
            </w:pPr>
            <w:r>
              <w:rPr>
                <w:b/>
                <w:bCs/>
                <w:sz w:val="18"/>
                <w:szCs w:val="18"/>
              </w:rPr>
              <w:t>ORCID</w:t>
            </w:r>
          </w:p>
        </w:tc>
        <w:tc>
          <w:tcPr>
            <w:tcW w:w="6840" w:type="dxa"/>
            <w:tcBorders>
              <w:top w:val="single" w:sz="5" w:space="0" w:color="005B52"/>
              <w:left w:val="single" w:sz="5" w:space="0" w:color="005B52"/>
              <w:bottom w:val="single" w:sz="5" w:space="0" w:color="005B52"/>
              <w:right w:val="single" w:sz="5" w:space="0" w:color="005B52"/>
            </w:tcBorders>
            <w:tcMar>
              <w:top w:w="0" w:type="dxa"/>
              <w:left w:w="20" w:type="dxa"/>
              <w:bottom w:w="0" w:type="dxa"/>
              <w:right w:w="20" w:type="dxa"/>
            </w:tcMar>
            <w:vAlign w:val="center"/>
          </w:tcPr>
          <w:p w14:paraId="000004D0" w14:textId="77777777" w:rsidR="00031725" w:rsidRDefault="00000000">
            <w:pPr>
              <w:spacing w:after="0" w:line="240" w:lineRule="auto"/>
              <w:rPr>
                <w:sz w:val="18"/>
                <w:szCs w:val="18"/>
              </w:rPr>
            </w:pPr>
            <w:r>
              <w:rPr>
                <w:sz w:val="18"/>
                <w:szCs w:val="18"/>
              </w:rPr>
              <w:t>A free, persistent identifier that researchers use throughout their career to distinguish themselves from others and to link their identity to their research outputs, affiliations and activities. (Source:</w:t>
            </w:r>
            <w:hyperlink r:id="rId130">
              <w:r w:rsidR="00031725">
                <w:rPr>
                  <w:color w:val="1155CC"/>
                  <w:sz w:val="18"/>
                  <w:szCs w:val="18"/>
                  <w:u w:val="single"/>
                </w:rPr>
                <w:t xml:space="preserve"> ORCID</w:t>
              </w:r>
            </w:hyperlink>
            <w:r>
              <w:rPr>
                <w:sz w:val="18"/>
                <w:szCs w:val="18"/>
              </w:rPr>
              <w:t>)</w:t>
            </w:r>
          </w:p>
        </w:tc>
      </w:tr>
      <w:tr w:rsidR="00031725" w14:paraId="531D4333" w14:textId="77777777">
        <w:trPr>
          <w:trHeight w:val="1575"/>
        </w:trPr>
        <w:tc>
          <w:tcPr>
            <w:tcW w:w="2280" w:type="dxa"/>
            <w:tcBorders>
              <w:top w:val="single" w:sz="5" w:space="0" w:color="005B52"/>
              <w:left w:val="single" w:sz="5" w:space="0" w:color="005B52"/>
              <w:bottom w:val="single" w:sz="5" w:space="0" w:color="005B52"/>
              <w:right w:val="single" w:sz="5" w:space="0" w:color="005B52"/>
            </w:tcBorders>
            <w:shd w:val="clear" w:color="auto" w:fill="EDF7F5"/>
            <w:tcMar>
              <w:top w:w="0" w:type="dxa"/>
              <w:left w:w="20" w:type="dxa"/>
              <w:bottom w:w="0" w:type="dxa"/>
              <w:right w:w="20" w:type="dxa"/>
            </w:tcMar>
            <w:vAlign w:val="center"/>
          </w:tcPr>
          <w:p w14:paraId="000004D1" w14:textId="77777777" w:rsidR="00031725" w:rsidRDefault="00000000">
            <w:pPr>
              <w:spacing w:after="0" w:line="240" w:lineRule="auto"/>
              <w:rPr>
                <w:b/>
                <w:bCs/>
                <w:sz w:val="18"/>
                <w:szCs w:val="18"/>
              </w:rPr>
            </w:pPr>
            <w:r>
              <w:rPr>
                <w:b/>
                <w:bCs/>
                <w:sz w:val="18"/>
                <w:szCs w:val="18"/>
              </w:rPr>
              <w:t>Persistent Identifier (PID)</w:t>
            </w:r>
          </w:p>
        </w:tc>
        <w:tc>
          <w:tcPr>
            <w:tcW w:w="6840" w:type="dxa"/>
            <w:tcBorders>
              <w:top w:val="single" w:sz="5" w:space="0" w:color="005B52"/>
              <w:left w:val="single" w:sz="5" w:space="0" w:color="005B52"/>
              <w:bottom w:val="single" w:sz="5" w:space="0" w:color="005B52"/>
              <w:right w:val="single" w:sz="5" w:space="0" w:color="005B52"/>
            </w:tcBorders>
            <w:tcMar>
              <w:top w:w="0" w:type="dxa"/>
              <w:left w:w="20" w:type="dxa"/>
              <w:bottom w:w="0" w:type="dxa"/>
              <w:right w:w="20" w:type="dxa"/>
            </w:tcMar>
            <w:vAlign w:val="center"/>
          </w:tcPr>
          <w:p w14:paraId="000004D2" w14:textId="77777777" w:rsidR="00031725" w:rsidRDefault="00000000">
            <w:pPr>
              <w:spacing w:after="0" w:line="240" w:lineRule="auto"/>
              <w:rPr>
                <w:sz w:val="18"/>
                <w:szCs w:val="18"/>
              </w:rPr>
            </w:pPr>
            <w:r>
              <w:rPr>
                <w:sz w:val="18"/>
                <w:szCs w:val="18"/>
              </w:rPr>
              <w:t xml:space="preserve">An identifier assigned to a digital resource, person or organisation that is globally unique, remains valid over time, and can be resolved by both humans and machines to locate or access the identified entity. A resource that is FAIR must be assigned a PID that meets these three criteria of global uniqueness, persistence, and resolvability. (Source: EOSC FAIR Working Group and Architecture Working Group. </w:t>
            </w:r>
            <w:hyperlink r:id="rId131">
              <w:r w:rsidR="00031725">
                <w:rPr>
                  <w:color w:val="1155CC"/>
                  <w:sz w:val="18"/>
                  <w:szCs w:val="18"/>
                  <w:u w:val="single"/>
                </w:rPr>
                <w:t>A Persistent Identifier (PID) policy for the European Open Science Cloud</w:t>
              </w:r>
            </w:hyperlink>
            <w:r>
              <w:rPr>
                <w:sz w:val="18"/>
                <w:szCs w:val="18"/>
              </w:rPr>
              <w:t>. European Commission Publications Office, October 2020</w:t>
            </w:r>
          </w:p>
        </w:tc>
      </w:tr>
      <w:tr w:rsidR="00031725" w14:paraId="24A7E8C6" w14:textId="77777777">
        <w:trPr>
          <w:trHeight w:val="780"/>
        </w:trPr>
        <w:tc>
          <w:tcPr>
            <w:tcW w:w="2280" w:type="dxa"/>
            <w:tcBorders>
              <w:top w:val="single" w:sz="5" w:space="0" w:color="005B52"/>
              <w:left w:val="single" w:sz="5" w:space="0" w:color="005B52"/>
              <w:bottom w:val="single" w:sz="5" w:space="0" w:color="005B52"/>
              <w:right w:val="single" w:sz="5" w:space="0" w:color="005B52"/>
            </w:tcBorders>
            <w:shd w:val="clear" w:color="auto" w:fill="EDF7F5"/>
            <w:tcMar>
              <w:top w:w="0" w:type="dxa"/>
              <w:left w:w="20" w:type="dxa"/>
              <w:bottom w:w="0" w:type="dxa"/>
              <w:right w:w="20" w:type="dxa"/>
            </w:tcMar>
            <w:vAlign w:val="center"/>
          </w:tcPr>
          <w:p w14:paraId="000004D3" w14:textId="77777777" w:rsidR="00031725" w:rsidRDefault="00000000">
            <w:pPr>
              <w:spacing w:after="0" w:line="240" w:lineRule="auto"/>
              <w:rPr>
                <w:b/>
                <w:bCs/>
                <w:sz w:val="18"/>
                <w:szCs w:val="18"/>
              </w:rPr>
            </w:pPr>
            <w:r>
              <w:rPr>
                <w:b/>
                <w:bCs/>
                <w:sz w:val="18"/>
                <w:szCs w:val="18"/>
              </w:rPr>
              <w:t>PROV-O (PROV Ontology)</w:t>
            </w:r>
          </w:p>
        </w:tc>
        <w:tc>
          <w:tcPr>
            <w:tcW w:w="6840" w:type="dxa"/>
            <w:tcBorders>
              <w:top w:val="single" w:sz="5" w:space="0" w:color="005B52"/>
              <w:left w:val="single" w:sz="5" w:space="0" w:color="005B52"/>
              <w:bottom w:val="single" w:sz="5" w:space="0" w:color="005B52"/>
              <w:right w:val="single" w:sz="5" w:space="0" w:color="005B52"/>
            </w:tcBorders>
            <w:tcMar>
              <w:top w:w="0" w:type="dxa"/>
              <w:left w:w="20" w:type="dxa"/>
              <w:bottom w:w="0" w:type="dxa"/>
              <w:right w:w="20" w:type="dxa"/>
            </w:tcMar>
            <w:vAlign w:val="center"/>
          </w:tcPr>
          <w:p w14:paraId="000004D4" w14:textId="77777777" w:rsidR="00031725" w:rsidRDefault="00000000">
            <w:pPr>
              <w:spacing w:after="0" w:line="240" w:lineRule="auto"/>
              <w:rPr>
                <w:sz w:val="18"/>
                <w:szCs w:val="18"/>
              </w:rPr>
            </w:pPr>
            <w:r>
              <w:rPr>
                <w:sz w:val="18"/>
                <w:szCs w:val="18"/>
              </w:rPr>
              <w:t xml:space="preserve">A standard vocabulary for recording provenance information in a machine-readable form, describing the entities, activities and people involved in producing, influencing or delivering a piece of data. (Source: </w:t>
            </w:r>
            <w:hyperlink r:id="rId132">
              <w:r w:rsidR="00031725">
                <w:rPr>
                  <w:color w:val="1155CC"/>
                  <w:sz w:val="18"/>
                  <w:szCs w:val="18"/>
                  <w:u w:val="single"/>
                </w:rPr>
                <w:t>W3C</w:t>
              </w:r>
            </w:hyperlink>
            <w:r>
              <w:rPr>
                <w:sz w:val="18"/>
                <w:szCs w:val="18"/>
              </w:rPr>
              <w:t>)</w:t>
            </w:r>
          </w:p>
        </w:tc>
      </w:tr>
      <w:tr w:rsidR="00031725" w14:paraId="5899C753" w14:textId="77777777">
        <w:trPr>
          <w:trHeight w:val="990"/>
        </w:trPr>
        <w:tc>
          <w:tcPr>
            <w:tcW w:w="2280" w:type="dxa"/>
            <w:tcBorders>
              <w:top w:val="single" w:sz="5" w:space="0" w:color="005B52"/>
              <w:left w:val="single" w:sz="5" w:space="0" w:color="005B52"/>
              <w:bottom w:val="single" w:sz="5" w:space="0" w:color="005B52"/>
              <w:right w:val="single" w:sz="5" w:space="0" w:color="005B52"/>
            </w:tcBorders>
            <w:shd w:val="clear" w:color="auto" w:fill="EDF7F5"/>
            <w:tcMar>
              <w:top w:w="0" w:type="dxa"/>
              <w:left w:w="20" w:type="dxa"/>
              <w:bottom w:w="0" w:type="dxa"/>
              <w:right w:w="20" w:type="dxa"/>
            </w:tcMar>
            <w:vAlign w:val="center"/>
          </w:tcPr>
          <w:p w14:paraId="000004D5" w14:textId="77777777" w:rsidR="00031725" w:rsidRDefault="00000000">
            <w:pPr>
              <w:spacing w:after="0" w:line="240" w:lineRule="auto"/>
              <w:rPr>
                <w:b/>
                <w:bCs/>
                <w:sz w:val="18"/>
                <w:szCs w:val="18"/>
              </w:rPr>
            </w:pPr>
            <w:r>
              <w:rPr>
                <w:b/>
                <w:bCs/>
                <w:sz w:val="18"/>
                <w:szCs w:val="18"/>
              </w:rPr>
              <w:t>RAG (Retrieval-Augmented Generation)</w:t>
            </w:r>
          </w:p>
        </w:tc>
        <w:tc>
          <w:tcPr>
            <w:tcW w:w="6840" w:type="dxa"/>
            <w:tcBorders>
              <w:top w:val="single" w:sz="5" w:space="0" w:color="005B52"/>
              <w:left w:val="single" w:sz="5" w:space="0" w:color="005B52"/>
              <w:bottom w:val="single" w:sz="5" w:space="0" w:color="005B52"/>
              <w:right w:val="single" w:sz="5" w:space="0" w:color="005B52"/>
            </w:tcBorders>
            <w:tcMar>
              <w:top w:w="0" w:type="dxa"/>
              <w:left w:w="20" w:type="dxa"/>
              <w:bottom w:w="0" w:type="dxa"/>
              <w:right w:w="20" w:type="dxa"/>
            </w:tcMar>
            <w:vAlign w:val="center"/>
          </w:tcPr>
          <w:p w14:paraId="000004D6" w14:textId="77777777" w:rsidR="00031725" w:rsidRDefault="00000000">
            <w:pPr>
              <w:spacing w:after="0" w:line="240" w:lineRule="auto"/>
              <w:rPr>
                <w:sz w:val="18"/>
                <w:szCs w:val="18"/>
              </w:rPr>
            </w:pPr>
            <w:r>
              <w:rPr>
                <w:sz w:val="18"/>
                <w:szCs w:val="18"/>
              </w:rPr>
              <w:t xml:space="preserve">An AI technique in which a language model's response is grounded by first retrieving relevant information from an external knowledge source, such as a document collection or database, and supplying it as additional context before generating an answer. (Source: </w:t>
            </w:r>
            <w:hyperlink r:id="rId133">
              <w:r w:rsidR="00031725">
                <w:rPr>
                  <w:color w:val="1155CC"/>
                  <w:sz w:val="18"/>
                  <w:szCs w:val="18"/>
                  <w:u w:val="single"/>
                </w:rPr>
                <w:t>AWS — What is RAG?</w:t>
              </w:r>
            </w:hyperlink>
            <w:r>
              <w:rPr>
                <w:sz w:val="18"/>
                <w:szCs w:val="18"/>
              </w:rPr>
              <w:t>)</w:t>
            </w:r>
          </w:p>
        </w:tc>
      </w:tr>
      <w:tr w:rsidR="00031725" w14:paraId="1E809B5D" w14:textId="77777777">
        <w:trPr>
          <w:trHeight w:val="780"/>
        </w:trPr>
        <w:tc>
          <w:tcPr>
            <w:tcW w:w="2280" w:type="dxa"/>
            <w:tcBorders>
              <w:top w:val="single" w:sz="5" w:space="0" w:color="005B52"/>
              <w:left w:val="single" w:sz="5" w:space="0" w:color="005B52"/>
              <w:bottom w:val="single" w:sz="5" w:space="0" w:color="005B52"/>
              <w:right w:val="single" w:sz="5" w:space="0" w:color="005B52"/>
            </w:tcBorders>
            <w:shd w:val="clear" w:color="auto" w:fill="EDF7F5"/>
            <w:tcMar>
              <w:top w:w="0" w:type="dxa"/>
              <w:left w:w="20" w:type="dxa"/>
              <w:bottom w:w="0" w:type="dxa"/>
              <w:right w:w="20" w:type="dxa"/>
            </w:tcMar>
            <w:vAlign w:val="center"/>
          </w:tcPr>
          <w:p w14:paraId="000004D7" w14:textId="77777777" w:rsidR="00031725" w:rsidRDefault="00000000">
            <w:pPr>
              <w:spacing w:after="0" w:line="240" w:lineRule="auto"/>
              <w:rPr>
                <w:b/>
                <w:bCs/>
                <w:sz w:val="18"/>
                <w:szCs w:val="18"/>
              </w:rPr>
            </w:pPr>
            <w:r>
              <w:rPr>
                <w:b/>
                <w:bCs/>
                <w:sz w:val="18"/>
                <w:szCs w:val="18"/>
              </w:rPr>
              <w:t>Repository (Research Data Repository)</w:t>
            </w:r>
          </w:p>
        </w:tc>
        <w:tc>
          <w:tcPr>
            <w:tcW w:w="6840" w:type="dxa"/>
            <w:tcBorders>
              <w:top w:val="single" w:sz="5" w:space="0" w:color="005B52"/>
              <w:left w:val="single" w:sz="5" w:space="0" w:color="005B52"/>
              <w:bottom w:val="single" w:sz="5" w:space="0" w:color="005B52"/>
              <w:right w:val="single" w:sz="5" w:space="0" w:color="005B52"/>
            </w:tcBorders>
            <w:tcMar>
              <w:top w:w="0" w:type="dxa"/>
              <w:left w:w="20" w:type="dxa"/>
              <w:bottom w:w="0" w:type="dxa"/>
              <w:right w:w="20" w:type="dxa"/>
            </w:tcMar>
            <w:vAlign w:val="center"/>
          </w:tcPr>
          <w:p w14:paraId="000004D8" w14:textId="77777777" w:rsidR="00031725" w:rsidRDefault="00000000">
            <w:pPr>
              <w:spacing w:after="0" w:line="240" w:lineRule="auto"/>
              <w:rPr>
                <w:sz w:val="18"/>
                <w:szCs w:val="18"/>
              </w:rPr>
            </w:pPr>
            <w:r>
              <w:rPr>
                <w:sz w:val="18"/>
                <w:szCs w:val="18"/>
              </w:rPr>
              <w:t>An online platform for storing, preserving, describing and providing access to research data and other outputs over the long term, often assigning persistent identifiers and supporting discovery through metadata. (Source:</w:t>
            </w:r>
            <w:hyperlink r:id="rId134">
              <w:r w:rsidR="00031725">
                <w:rPr>
                  <w:color w:val="1155CC"/>
                  <w:sz w:val="18"/>
                  <w:szCs w:val="18"/>
                  <w:u w:val="single"/>
                </w:rPr>
                <w:t xml:space="preserve"> The Turing Way</w:t>
              </w:r>
            </w:hyperlink>
            <w:r>
              <w:rPr>
                <w:sz w:val="18"/>
                <w:szCs w:val="18"/>
              </w:rPr>
              <w:t>)</w:t>
            </w:r>
          </w:p>
        </w:tc>
      </w:tr>
      <w:tr w:rsidR="00031725" w14:paraId="46D4FAF4" w14:textId="77777777">
        <w:trPr>
          <w:trHeight w:val="780"/>
        </w:trPr>
        <w:tc>
          <w:tcPr>
            <w:tcW w:w="2280" w:type="dxa"/>
            <w:tcBorders>
              <w:top w:val="single" w:sz="5" w:space="0" w:color="005B52"/>
              <w:left w:val="single" w:sz="5" w:space="0" w:color="005B52"/>
              <w:bottom w:val="single" w:sz="5" w:space="0" w:color="005B52"/>
              <w:right w:val="single" w:sz="5" w:space="0" w:color="005B52"/>
            </w:tcBorders>
            <w:shd w:val="clear" w:color="auto" w:fill="EDF7F5"/>
            <w:tcMar>
              <w:top w:w="0" w:type="dxa"/>
              <w:left w:w="20" w:type="dxa"/>
              <w:bottom w:w="0" w:type="dxa"/>
              <w:right w:w="20" w:type="dxa"/>
            </w:tcMar>
            <w:vAlign w:val="center"/>
          </w:tcPr>
          <w:p w14:paraId="000004D9" w14:textId="77777777" w:rsidR="00031725" w:rsidRDefault="00000000">
            <w:pPr>
              <w:spacing w:after="0" w:line="240" w:lineRule="auto"/>
              <w:rPr>
                <w:b/>
                <w:bCs/>
                <w:sz w:val="18"/>
                <w:szCs w:val="18"/>
              </w:rPr>
            </w:pPr>
            <w:r>
              <w:rPr>
                <w:b/>
                <w:bCs/>
                <w:sz w:val="18"/>
                <w:szCs w:val="18"/>
              </w:rPr>
              <w:t>ROR (Research Organization Registry)</w:t>
            </w:r>
          </w:p>
        </w:tc>
        <w:tc>
          <w:tcPr>
            <w:tcW w:w="6840" w:type="dxa"/>
            <w:tcBorders>
              <w:top w:val="single" w:sz="5" w:space="0" w:color="005B52"/>
              <w:left w:val="single" w:sz="5" w:space="0" w:color="005B52"/>
              <w:bottom w:val="single" w:sz="5" w:space="0" w:color="005B52"/>
              <w:right w:val="single" w:sz="5" w:space="0" w:color="005B52"/>
            </w:tcBorders>
            <w:tcMar>
              <w:top w:w="0" w:type="dxa"/>
              <w:left w:w="20" w:type="dxa"/>
              <w:bottom w:w="0" w:type="dxa"/>
              <w:right w:w="20" w:type="dxa"/>
            </w:tcMar>
            <w:vAlign w:val="center"/>
          </w:tcPr>
          <w:p w14:paraId="000004DA" w14:textId="77777777" w:rsidR="00031725" w:rsidRDefault="00000000">
            <w:pPr>
              <w:spacing w:after="0" w:line="240" w:lineRule="auto"/>
              <w:rPr>
                <w:sz w:val="18"/>
                <w:szCs w:val="18"/>
              </w:rPr>
            </w:pPr>
            <w:r>
              <w:rPr>
                <w:sz w:val="18"/>
                <w:szCs w:val="18"/>
              </w:rPr>
              <w:t>An open, community-led registry providing persistent identifiers for research-performing organisations, used to unambiguously link research outputs, funders and institutions. (Source:</w:t>
            </w:r>
            <w:hyperlink r:id="rId135">
              <w:r w:rsidR="00031725">
                <w:rPr>
                  <w:color w:val="1155CC"/>
                  <w:sz w:val="18"/>
                  <w:szCs w:val="18"/>
                  <w:u w:val="single"/>
                </w:rPr>
                <w:t xml:space="preserve"> ROR</w:t>
              </w:r>
            </w:hyperlink>
            <w:r>
              <w:rPr>
                <w:sz w:val="18"/>
                <w:szCs w:val="18"/>
              </w:rPr>
              <w:t>)</w:t>
            </w:r>
          </w:p>
        </w:tc>
      </w:tr>
      <w:tr w:rsidR="00031725" w14:paraId="73AC3702" w14:textId="77777777">
        <w:trPr>
          <w:trHeight w:val="585"/>
        </w:trPr>
        <w:tc>
          <w:tcPr>
            <w:tcW w:w="2280" w:type="dxa"/>
            <w:tcBorders>
              <w:top w:val="single" w:sz="5" w:space="0" w:color="005B52"/>
              <w:left w:val="single" w:sz="5" w:space="0" w:color="005B52"/>
              <w:bottom w:val="single" w:sz="5" w:space="0" w:color="005B52"/>
              <w:right w:val="single" w:sz="5" w:space="0" w:color="005B52"/>
            </w:tcBorders>
            <w:shd w:val="clear" w:color="auto" w:fill="EDF7F5"/>
            <w:tcMar>
              <w:top w:w="0" w:type="dxa"/>
              <w:left w:w="20" w:type="dxa"/>
              <w:bottom w:w="0" w:type="dxa"/>
              <w:right w:w="20" w:type="dxa"/>
            </w:tcMar>
            <w:vAlign w:val="center"/>
          </w:tcPr>
          <w:p w14:paraId="000004DB" w14:textId="77777777" w:rsidR="00031725" w:rsidRDefault="00000000">
            <w:pPr>
              <w:spacing w:after="0" w:line="240" w:lineRule="auto"/>
              <w:rPr>
                <w:b/>
                <w:bCs/>
                <w:sz w:val="18"/>
                <w:szCs w:val="18"/>
              </w:rPr>
            </w:pPr>
            <w:r>
              <w:rPr>
                <w:b/>
                <w:bCs/>
                <w:sz w:val="18"/>
                <w:szCs w:val="18"/>
              </w:rPr>
              <w:t>SHACL (Shapes Constraint Language)</w:t>
            </w:r>
          </w:p>
        </w:tc>
        <w:tc>
          <w:tcPr>
            <w:tcW w:w="6840" w:type="dxa"/>
            <w:tcBorders>
              <w:top w:val="single" w:sz="5" w:space="0" w:color="005B52"/>
              <w:left w:val="single" w:sz="5" w:space="0" w:color="005B52"/>
              <w:bottom w:val="single" w:sz="5" w:space="0" w:color="005B52"/>
              <w:right w:val="single" w:sz="5" w:space="0" w:color="005B52"/>
            </w:tcBorders>
            <w:tcMar>
              <w:top w:w="0" w:type="dxa"/>
              <w:left w:w="20" w:type="dxa"/>
              <w:bottom w:w="0" w:type="dxa"/>
              <w:right w:w="20" w:type="dxa"/>
            </w:tcMar>
            <w:vAlign w:val="center"/>
          </w:tcPr>
          <w:p w14:paraId="000004DC" w14:textId="77777777" w:rsidR="00031725" w:rsidRDefault="00000000">
            <w:pPr>
              <w:spacing w:after="0" w:line="240" w:lineRule="auto"/>
              <w:rPr>
                <w:sz w:val="18"/>
                <w:szCs w:val="18"/>
              </w:rPr>
            </w:pPr>
            <w:r>
              <w:rPr>
                <w:sz w:val="18"/>
                <w:szCs w:val="18"/>
              </w:rPr>
              <w:t>A standard language for describing and validating the structure of data, used to check that metadata conforms to a defined shape or set of rules. (Source:</w:t>
            </w:r>
            <w:hyperlink r:id="rId136">
              <w:r w:rsidR="00031725">
                <w:rPr>
                  <w:color w:val="1155CC"/>
                  <w:sz w:val="18"/>
                  <w:szCs w:val="18"/>
                  <w:u w:val="single"/>
                </w:rPr>
                <w:t xml:space="preserve"> W3C</w:t>
              </w:r>
            </w:hyperlink>
            <w:r>
              <w:rPr>
                <w:sz w:val="18"/>
                <w:szCs w:val="18"/>
              </w:rPr>
              <w:t>)</w:t>
            </w:r>
          </w:p>
        </w:tc>
      </w:tr>
      <w:tr w:rsidR="00031725" w14:paraId="30C735CC" w14:textId="77777777">
        <w:trPr>
          <w:trHeight w:val="585"/>
        </w:trPr>
        <w:tc>
          <w:tcPr>
            <w:tcW w:w="2280" w:type="dxa"/>
            <w:tcBorders>
              <w:top w:val="single" w:sz="5" w:space="0" w:color="005B52"/>
              <w:left w:val="single" w:sz="5" w:space="0" w:color="005B52"/>
              <w:bottom w:val="single" w:sz="5" w:space="0" w:color="005B52"/>
              <w:right w:val="single" w:sz="5" w:space="0" w:color="005B52"/>
            </w:tcBorders>
            <w:shd w:val="clear" w:color="auto" w:fill="EDF7F5"/>
            <w:tcMar>
              <w:top w:w="0" w:type="dxa"/>
              <w:left w:w="20" w:type="dxa"/>
              <w:bottom w:w="0" w:type="dxa"/>
              <w:right w:w="20" w:type="dxa"/>
            </w:tcMar>
            <w:vAlign w:val="center"/>
          </w:tcPr>
          <w:p w14:paraId="000004DD" w14:textId="77777777" w:rsidR="00031725" w:rsidRDefault="00000000">
            <w:pPr>
              <w:spacing w:after="0" w:line="240" w:lineRule="auto"/>
              <w:rPr>
                <w:b/>
                <w:bCs/>
                <w:sz w:val="18"/>
                <w:szCs w:val="18"/>
              </w:rPr>
            </w:pPr>
            <w:r>
              <w:rPr>
                <w:b/>
                <w:bCs/>
                <w:sz w:val="18"/>
                <w:szCs w:val="18"/>
              </w:rPr>
              <w:t>WCAG (Web Content Accessibility Guidelines)</w:t>
            </w:r>
          </w:p>
        </w:tc>
        <w:tc>
          <w:tcPr>
            <w:tcW w:w="6840" w:type="dxa"/>
            <w:tcBorders>
              <w:top w:val="single" w:sz="5" w:space="0" w:color="005B52"/>
              <w:left w:val="single" w:sz="5" w:space="0" w:color="005B52"/>
              <w:bottom w:val="single" w:sz="5" w:space="0" w:color="005B52"/>
              <w:right w:val="single" w:sz="5" w:space="0" w:color="005B52"/>
            </w:tcBorders>
            <w:tcMar>
              <w:top w:w="0" w:type="dxa"/>
              <w:left w:w="20" w:type="dxa"/>
              <w:bottom w:w="0" w:type="dxa"/>
              <w:right w:w="20" w:type="dxa"/>
            </w:tcMar>
            <w:vAlign w:val="center"/>
          </w:tcPr>
          <w:p w14:paraId="000004DE" w14:textId="77777777" w:rsidR="00031725" w:rsidRDefault="00000000">
            <w:pPr>
              <w:spacing w:after="0" w:line="240" w:lineRule="auto"/>
              <w:rPr>
                <w:sz w:val="18"/>
                <w:szCs w:val="18"/>
              </w:rPr>
            </w:pPr>
            <w:r>
              <w:rPr>
                <w:sz w:val="18"/>
                <w:szCs w:val="18"/>
              </w:rPr>
              <w:t>An internationally recognised set of guidelines defining how to make web content more accessible to people with disabilities. (Source:</w:t>
            </w:r>
            <w:hyperlink r:id="rId137">
              <w:r w:rsidR="00031725">
                <w:rPr>
                  <w:color w:val="1155CC"/>
                  <w:sz w:val="18"/>
                  <w:szCs w:val="18"/>
                  <w:u w:val="single"/>
                </w:rPr>
                <w:t xml:space="preserve"> W3C Web Accessibility Initiative</w:t>
              </w:r>
            </w:hyperlink>
            <w:r>
              <w:rPr>
                <w:sz w:val="18"/>
                <w:szCs w:val="18"/>
              </w:rPr>
              <w:t>)</w:t>
            </w:r>
          </w:p>
        </w:tc>
      </w:tr>
      <w:tr w:rsidR="00031725" w14:paraId="6567A681" w14:textId="77777777">
        <w:trPr>
          <w:trHeight w:val="780"/>
        </w:trPr>
        <w:tc>
          <w:tcPr>
            <w:tcW w:w="2280" w:type="dxa"/>
            <w:tcBorders>
              <w:top w:val="single" w:sz="5" w:space="0" w:color="005B52"/>
              <w:left w:val="single" w:sz="5" w:space="0" w:color="005B52"/>
              <w:bottom w:val="single" w:sz="5" w:space="0" w:color="005B52"/>
              <w:right w:val="single" w:sz="5" w:space="0" w:color="005B52"/>
            </w:tcBorders>
            <w:shd w:val="clear" w:color="auto" w:fill="EDF7F5"/>
            <w:tcMar>
              <w:top w:w="0" w:type="dxa"/>
              <w:left w:w="20" w:type="dxa"/>
              <w:bottom w:w="0" w:type="dxa"/>
              <w:right w:w="20" w:type="dxa"/>
            </w:tcMar>
            <w:vAlign w:val="center"/>
          </w:tcPr>
          <w:p w14:paraId="000004DF" w14:textId="77777777" w:rsidR="00031725" w:rsidRDefault="00000000">
            <w:pPr>
              <w:spacing w:after="0" w:line="240" w:lineRule="auto"/>
              <w:rPr>
                <w:b/>
                <w:bCs/>
                <w:sz w:val="18"/>
                <w:szCs w:val="18"/>
              </w:rPr>
            </w:pPr>
            <w:r>
              <w:rPr>
                <w:b/>
                <w:bCs/>
                <w:sz w:val="18"/>
                <w:szCs w:val="18"/>
              </w:rPr>
              <w:t>XSD (XML Schema Definition)</w:t>
            </w:r>
          </w:p>
        </w:tc>
        <w:tc>
          <w:tcPr>
            <w:tcW w:w="6840" w:type="dxa"/>
            <w:tcBorders>
              <w:top w:val="single" w:sz="5" w:space="0" w:color="005B52"/>
              <w:left w:val="single" w:sz="5" w:space="0" w:color="005B52"/>
              <w:bottom w:val="single" w:sz="5" w:space="0" w:color="005B52"/>
              <w:right w:val="single" w:sz="5" w:space="0" w:color="005B52"/>
            </w:tcBorders>
            <w:tcMar>
              <w:top w:w="0" w:type="dxa"/>
              <w:left w:w="20" w:type="dxa"/>
              <w:bottom w:w="0" w:type="dxa"/>
              <w:right w:w="20" w:type="dxa"/>
            </w:tcMar>
            <w:vAlign w:val="center"/>
          </w:tcPr>
          <w:p w14:paraId="000004E0" w14:textId="77777777" w:rsidR="00031725" w:rsidRDefault="00000000">
            <w:pPr>
              <w:spacing w:after="0" w:line="240" w:lineRule="auto"/>
              <w:rPr>
                <w:sz w:val="18"/>
                <w:szCs w:val="18"/>
              </w:rPr>
            </w:pPr>
            <w:r>
              <w:rPr>
                <w:sz w:val="18"/>
                <w:szCs w:val="18"/>
              </w:rPr>
              <w:t>A standard for describing the structure, content and permitted data types of an XML document, used to validate that an XML file conforms to an expected format. (Source:</w:t>
            </w:r>
            <w:hyperlink r:id="rId138">
              <w:r w:rsidR="00031725">
                <w:rPr>
                  <w:color w:val="1155CC"/>
                  <w:sz w:val="18"/>
                  <w:szCs w:val="18"/>
                  <w:u w:val="single"/>
                </w:rPr>
                <w:t xml:space="preserve"> W3C</w:t>
              </w:r>
            </w:hyperlink>
            <w:r>
              <w:rPr>
                <w:sz w:val="18"/>
                <w:szCs w:val="18"/>
              </w:rPr>
              <w:t>)</w:t>
            </w:r>
          </w:p>
        </w:tc>
      </w:tr>
    </w:tbl>
    <w:p w14:paraId="000004E1" w14:textId="77777777" w:rsidR="00031725" w:rsidRDefault="00000000">
      <w:pPr>
        <w:pStyle w:val="Heading2"/>
      </w:pPr>
      <w:bookmarkStart w:id="68" w:name="_Toc233654434"/>
      <w:r>
        <w:t>Appendix B: Related Resources</w:t>
      </w:r>
      <w:bookmarkEnd w:id="68"/>
    </w:p>
    <w:p w14:paraId="000004E2" w14:textId="77777777" w:rsidR="00031725" w:rsidRDefault="00000000">
      <w:pPr>
        <w:spacing w:after="160"/>
      </w:pPr>
      <w:r>
        <w:t xml:space="preserve">The resources below are drawn from across the Blueprint and related working group discussions. They are grouped by theme, with the resource title hyperlinked to its primary URL. Entries with no confirmed URL in the source material are shown in bold without a link, with this noted in the description. </w:t>
      </w:r>
    </w:p>
    <w:p w14:paraId="18F49E7F" w14:textId="77777777" w:rsidR="00895C8C" w:rsidRDefault="00895C8C">
      <w:pPr>
        <w:spacing w:after="160"/>
      </w:pPr>
    </w:p>
    <w:p w14:paraId="4261E4D2" w14:textId="77777777" w:rsidR="00895C8C" w:rsidRDefault="00895C8C">
      <w:pPr>
        <w:spacing w:after="160"/>
      </w:pPr>
    </w:p>
    <w:p w14:paraId="000004E3" w14:textId="77777777" w:rsidR="00031725" w:rsidRDefault="00000000">
      <w:pPr>
        <w:spacing w:before="200" w:after="80"/>
        <w:rPr>
          <w:b/>
          <w:bCs/>
        </w:rPr>
      </w:pPr>
      <w:r>
        <w:rPr>
          <w:b/>
          <w:bCs/>
        </w:rPr>
        <w:lastRenderedPageBreak/>
        <w:t>RDA, Governance and Consultation</w:t>
      </w:r>
    </w:p>
    <w:tbl>
      <w:tblPr>
        <w:tblStyle w:val="ad"/>
        <w:tblW w:w="90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65"/>
        <w:gridCol w:w="6150"/>
      </w:tblGrid>
      <w:tr w:rsidR="00031725" w14:paraId="546B8312" w14:textId="77777777">
        <w:trPr>
          <w:trHeight w:val="405"/>
        </w:trPr>
        <w:tc>
          <w:tcPr>
            <w:tcW w:w="2865" w:type="dxa"/>
            <w:tcBorders>
              <w:top w:val="single" w:sz="5" w:space="0" w:color="005B52"/>
              <w:left w:val="single" w:sz="5" w:space="0" w:color="005B52"/>
              <w:bottom w:val="single" w:sz="5" w:space="0" w:color="005B52"/>
              <w:right w:val="single" w:sz="5" w:space="0" w:color="005B52"/>
            </w:tcBorders>
            <w:shd w:val="clear" w:color="auto" w:fill="0F6E56"/>
            <w:tcMar>
              <w:top w:w="80" w:type="dxa"/>
              <w:left w:w="120" w:type="dxa"/>
              <w:bottom w:w="80" w:type="dxa"/>
              <w:right w:w="120" w:type="dxa"/>
            </w:tcMar>
          </w:tcPr>
          <w:p w14:paraId="000004E4" w14:textId="77777777" w:rsidR="00031725" w:rsidRDefault="00000000">
            <w:pPr>
              <w:spacing w:after="0"/>
              <w:rPr>
                <w:b/>
                <w:bCs/>
                <w:color w:val="FFFFFF"/>
                <w:sz w:val="18"/>
                <w:szCs w:val="18"/>
              </w:rPr>
            </w:pPr>
            <w:r>
              <w:rPr>
                <w:b/>
                <w:bCs/>
                <w:color w:val="FFFFFF"/>
                <w:sz w:val="18"/>
                <w:szCs w:val="18"/>
              </w:rPr>
              <w:t>Resource</w:t>
            </w:r>
          </w:p>
        </w:tc>
        <w:tc>
          <w:tcPr>
            <w:tcW w:w="6150" w:type="dxa"/>
            <w:tcBorders>
              <w:top w:val="single" w:sz="5" w:space="0" w:color="005B52"/>
              <w:left w:val="single" w:sz="5" w:space="0" w:color="005B52"/>
              <w:bottom w:val="single" w:sz="5" w:space="0" w:color="005B52"/>
              <w:right w:val="single" w:sz="5" w:space="0" w:color="005B52"/>
            </w:tcBorders>
            <w:shd w:val="clear" w:color="auto" w:fill="0F6E56"/>
            <w:tcMar>
              <w:top w:w="80" w:type="dxa"/>
              <w:left w:w="120" w:type="dxa"/>
              <w:bottom w:w="80" w:type="dxa"/>
              <w:right w:w="120" w:type="dxa"/>
            </w:tcMar>
          </w:tcPr>
          <w:p w14:paraId="000004E5" w14:textId="77777777" w:rsidR="00031725" w:rsidRDefault="00000000">
            <w:pPr>
              <w:spacing w:after="0"/>
              <w:rPr>
                <w:b/>
                <w:bCs/>
                <w:color w:val="FFFFFF"/>
                <w:sz w:val="18"/>
                <w:szCs w:val="18"/>
              </w:rPr>
            </w:pPr>
            <w:r>
              <w:rPr>
                <w:b/>
                <w:bCs/>
                <w:color w:val="FFFFFF"/>
                <w:sz w:val="18"/>
                <w:szCs w:val="18"/>
              </w:rPr>
              <w:t>Description and source section</w:t>
            </w:r>
          </w:p>
        </w:tc>
      </w:tr>
      <w:tr w:rsidR="00031725" w14:paraId="3B902C12" w14:textId="77777777">
        <w:trPr>
          <w:trHeight w:val="405"/>
        </w:trPr>
        <w:tc>
          <w:tcPr>
            <w:tcW w:w="286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4E6" w14:textId="77777777" w:rsidR="00031725" w:rsidRDefault="00031725">
            <w:pPr>
              <w:spacing w:after="0"/>
              <w:rPr>
                <w:color w:val="0563C1"/>
                <w:sz w:val="18"/>
                <w:szCs w:val="18"/>
                <w:u w:val="single"/>
              </w:rPr>
            </w:pPr>
            <w:hyperlink r:id="rId139">
              <w:r>
                <w:rPr>
                  <w:color w:val="0563C1"/>
                  <w:sz w:val="18"/>
                  <w:szCs w:val="18"/>
                  <w:u w:val="single"/>
                </w:rPr>
                <w:t>RDA About</w:t>
              </w:r>
            </w:hyperlink>
          </w:p>
        </w:tc>
        <w:tc>
          <w:tcPr>
            <w:tcW w:w="615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4E7" w14:textId="77777777" w:rsidR="00031725" w:rsidRDefault="00000000">
            <w:pPr>
              <w:spacing w:after="0"/>
              <w:rPr>
                <w:sz w:val="18"/>
                <w:szCs w:val="18"/>
              </w:rPr>
            </w:pPr>
            <w:r>
              <w:rPr>
                <w:sz w:val="18"/>
                <w:szCs w:val="18"/>
              </w:rPr>
              <w:t>General information about the RDA.</w:t>
            </w:r>
          </w:p>
        </w:tc>
      </w:tr>
      <w:tr w:rsidR="00031725" w14:paraId="24F782E9" w14:textId="77777777">
        <w:trPr>
          <w:trHeight w:val="555"/>
        </w:trPr>
        <w:tc>
          <w:tcPr>
            <w:tcW w:w="2865"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4E8" w14:textId="77777777" w:rsidR="00031725" w:rsidRDefault="00031725">
            <w:pPr>
              <w:spacing w:after="0"/>
              <w:rPr>
                <w:color w:val="0563C1"/>
                <w:sz w:val="18"/>
                <w:szCs w:val="18"/>
                <w:u w:val="single"/>
              </w:rPr>
            </w:pPr>
            <w:hyperlink r:id="rId140">
              <w:r>
                <w:rPr>
                  <w:color w:val="0563C1"/>
                  <w:sz w:val="18"/>
                  <w:szCs w:val="18"/>
                  <w:u w:val="single"/>
                </w:rPr>
                <w:t>RDA Guiding Principles</w:t>
              </w:r>
            </w:hyperlink>
          </w:p>
        </w:tc>
        <w:tc>
          <w:tcPr>
            <w:tcW w:w="6150"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4E9" w14:textId="77777777" w:rsidR="00031725" w:rsidRDefault="00000000">
            <w:pPr>
              <w:spacing w:after="0"/>
              <w:rPr>
                <w:sz w:val="18"/>
                <w:szCs w:val="18"/>
              </w:rPr>
            </w:pPr>
            <w:r>
              <w:rPr>
                <w:sz w:val="18"/>
                <w:szCs w:val="18"/>
              </w:rPr>
              <w:t xml:space="preserve">The Guiding Principles with which the Blueprint's openness and governance are designed to comply. </w:t>
            </w:r>
          </w:p>
        </w:tc>
      </w:tr>
      <w:tr w:rsidR="00031725" w14:paraId="4665EC5A" w14:textId="77777777">
        <w:trPr>
          <w:trHeight w:val="645"/>
        </w:trPr>
        <w:tc>
          <w:tcPr>
            <w:tcW w:w="286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4EA" w14:textId="77777777" w:rsidR="00031725" w:rsidRDefault="00031725">
            <w:pPr>
              <w:spacing w:after="0"/>
              <w:rPr>
                <w:color w:val="0563C1"/>
                <w:sz w:val="18"/>
                <w:szCs w:val="18"/>
                <w:u w:val="single"/>
              </w:rPr>
            </w:pPr>
            <w:hyperlink r:id="rId141">
              <w:r>
                <w:rPr>
                  <w:color w:val="0563C1"/>
                  <w:sz w:val="18"/>
                  <w:szCs w:val="18"/>
                  <w:u w:val="single"/>
                </w:rPr>
                <w:t>Data Director Agentic AI Blueprint Working Group</w:t>
              </w:r>
            </w:hyperlink>
          </w:p>
        </w:tc>
        <w:tc>
          <w:tcPr>
            <w:tcW w:w="615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4EB" w14:textId="77777777" w:rsidR="00031725" w:rsidRDefault="00000000">
            <w:pPr>
              <w:spacing w:after="0"/>
              <w:rPr>
                <w:sz w:val="18"/>
                <w:szCs w:val="18"/>
              </w:rPr>
            </w:pPr>
            <w:r>
              <w:rPr>
                <w:sz w:val="18"/>
                <w:szCs w:val="18"/>
              </w:rPr>
              <w:t xml:space="preserve">Working Group activity page for this Blueprint. </w:t>
            </w:r>
          </w:p>
        </w:tc>
      </w:tr>
      <w:tr w:rsidR="00031725" w14:paraId="4F290C04" w14:textId="77777777">
        <w:trPr>
          <w:trHeight w:val="885"/>
        </w:trPr>
        <w:tc>
          <w:tcPr>
            <w:tcW w:w="2865"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4EC" w14:textId="77777777" w:rsidR="00031725" w:rsidRDefault="00031725">
            <w:pPr>
              <w:spacing w:after="0"/>
              <w:rPr>
                <w:color w:val="0563C1"/>
                <w:sz w:val="18"/>
                <w:szCs w:val="18"/>
                <w:u w:val="single"/>
              </w:rPr>
            </w:pPr>
            <w:hyperlink r:id="rId142">
              <w:r>
                <w:rPr>
                  <w:color w:val="0563C1"/>
                  <w:sz w:val="18"/>
                  <w:szCs w:val="18"/>
                  <w:u w:val="single"/>
                </w:rPr>
                <w:t>Global Community Priorities for Agentic AI Development</w:t>
              </w:r>
            </w:hyperlink>
          </w:p>
        </w:tc>
        <w:tc>
          <w:tcPr>
            <w:tcW w:w="6150"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4ED" w14:textId="77777777" w:rsidR="00031725" w:rsidRDefault="00000000">
            <w:pPr>
              <w:spacing w:after="0"/>
              <w:rPr>
                <w:sz w:val="18"/>
                <w:szCs w:val="18"/>
              </w:rPr>
            </w:pPr>
            <w:r>
              <w:rPr>
                <w:sz w:val="18"/>
                <w:szCs w:val="18"/>
              </w:rPr>
              <w:t>Outputs of the RDA-Microsoft global community consultation that selected the Data Director as the Blueprint's focus.</w:t>
            </w:r>
          </w:p>
        </w:tc>
      </w:tr>
      <w:tr w:rsidR="00031725" w14:paraId="74BECEB1" w14:textId="77777777">
        <w:trPr>
          <w:trHeight w:val="630"/>
        </w:trPr>
        <w:tc>
          <w:tcPr>
            <w:tcW w:w="286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4EE" w14:textId="77777777" w:rsidR="00031725" w:rsidRDefault="00031725">
            <w:pPr>
              <w:spacing w:after="0"/>
              <w:rPr>
                <w:color w:val="0563C1"/>
                <w:sz w:val="18"/>
                <w:szCs w:val="18"/>
                <w:u w:val="single"/>
              </w:rPr>
            </w:pPr>
            <w:hyperlink r:id="rId143">
              <w:r>
                <w:rPr>
                  <w:color w:val="0563C1"/>
                  <w:sz w:val="18"/>
                  <w:szCs w:val="18"/>
                  <w:u w:val="single"/>
                </w:rPr>
                <w:t>How RDA Works</w:t>
              </w:r>
            </w:hyperlink>
          </w:p>
        </w:tc>
        <w:tc>
          <w:tcPr>
            <w:tcW w:w="615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4EF" w14:textId="77777777" w:rsidR="00031725" w:rsidRDefault="00000000">
            <w:pPr>
              <w:spacing w:after="0"/>
              <w:rPr>
                <w:sz w:val="18"/>
                <w:szCs w:val="18"/>
              </w:rPr>
            </w:pPr>
            <w:r>
              <w:rPr>
                <w:sz w:val="18"/>
                <w:szCs w:val="18"/>
              </w:rPr>
              <w:t>Describes the RDA's mission, vision and guiding principles, against which the Data Director was assessed for alignment.</w:t>
            </w:r>
          </w:p>
        </w:tc>
      </w:tr>
      <w:tr w:rsidR="00031725" w14:paraId="570C42F4" w14:textId="77777777">
        <w:trPr>
          <w:trHeight w:val="645"/>
        </w:trPr>
        <w:tc>
          <w:tcPr>
            <w:tcW w:w="2865"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4F0" w14:textId="77777777" w:rsidR="00031725" w:rsidRDefault="00031725">
            <w:pPr>
              <w:spacing w:after="0"/>
              <w:rPr>
                <w:color w:val="0563C1"/>
                <w:sz w:val="18"/>
                <w:szCs w:val="18"/>
                <w:u w:val="single"/>
              </w:rPr>
            </w:pPr>
            <w:hyperlink r:id="rId144">
              <w:r>
                <w:rPr>
                  <w:color w:val="0563C1"/>
                  <w:sz w:val="18"/>
                  <w:szCs w:val="18"/>
                  <w:u w:val="single"/>
                </w:rPr>
                <w:t>RDA Recommendations and Outputs process</w:t>
              </w:r>
            </w:hyperlink>
          </w:p>
        </w:tc>
        <w:tc>
          <w:tcPr>
            <w:tcW w:w="6150"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4F1" w14:textId="77777777" w:rsidR="00031725" w:rsidRDefault="00000000">
            <w:pPr>
              <w:spacing w:after="0"/>
              <w:rPr>
                <w:sz w:val="18"/>
                <w:szCs w:val="18"/>
              </w:rPr>
            </w:pPr>
            <w:r>
              <w:rPr>
                <w:sz w:val="18"/>
                <w:szCs w:val="18"/>
              </w:rPr>
              <w:t>The formal RDA process under which this Blueprint is produced.</w:t>
            </w:r>
          </w:p>
        </w:tc>
      </w:tr>
      <w:tr w:rsidR="00031725" w14:paraId="0C715EA4" w14:textId="77777777">
        <w:trPr>
          <w:trHeight w:val="615"/>
        </w:trPr>
        <w:tc>
          <w:tcPr>
            <w:tcW w:w="286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4F2" w14:textId="77777777" w:rsidR="00031725" w:rsidRDefault="00031725">
            <w:pPr>
              <w:spacing w:after="0"/>
              <w:rPr>
                <w:color w:val="0563C1"/>
                <w:sz w:val="18"/>
                <w:szCs w:val="18"/>
                <w:u w:val="single"/>
              </w:rPr>
            </w:pPr>
            <w:hyperlink r:id="rId145">
              <w:r>
                <w:rPr>
                  <w:color w:val="0563C1"/>
                  <w:sz w:val="18"/>
                  <w:szCs w:val="18"/>
                  <w:u w:val="single"/>
                </w:rPr>
                <w:t>RDA Private Sector Engagement Framework v1.0</w:t>
              </w:r>
            </w:hyperlink>
          </w:p>
        </w:tc>
        <w:tc>
          <w:tcPr>
            <w:tcW w:w="615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4F3" w14:textId="77777777" w:rsidR="00031725" w:rsidRDefault="00000000">
            <w:pPr>
              <w:spacing w:after="0"/>
              <w:rPr>
                <w:sz w:val="18"/>
                <w:szCs w:val="18"/>
              </w:rPr>
            </w:pPr>
            <w:r>
              <w:rPr>
                <w:sz w:val="18"/>
                <w:szCs w:val="18"/>
              </w:rPr>
              <w:t xml:space="preserve">Framework under which Microsoft's facilitation of the Working Group was provided. </w:t>
            </w:r>
          </w:p>
        </w:tc>
      </w:tr>
      <w:tr w:rsidR="00031725" w14:paraId="74485E71" w14:textId="77777777">
        <w:trPr>
          <w:trHeight w:val="585"/>
        </w:trPr>
        <w:tc>
          <w:tcPr>
            <w:tcW w:w="2865"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4F4" w14:textId="77777777" w:rsidR="00031725" w:rsidRDefault="00031725">
            <w:pPr>
              <w:spacing w:after="0"/>
              <w:rPr>
                <w:color w:val="0563C1"/>
                <w:sz w:val="18"/>
                <w:szCs w:val="18"/>
                <w:u w:val="single"/>
              </w:rPr>
            </w:pPr>
            <w:hyperlink r:id="rId146">
              <w:r>
                <w:rPr>
                  <w:color w:val="0563C1"/>
                  <w:sz w:val="18"/>
                  <w:szCs w:val="18"/>
                  <w:u w:val="single"/>
                </w:rPr>
                <w:t>RDA Guidance on AI Tools Usage</w:t>
              </w:r>
            </w:hyperlink>
          </w:p>
        </w:tc>
        <w:tc>
          <w:tcPr>
            <w:tcW w:w="6150"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4F5" w14:textId="77777777" w:rsidR="00031725" w:rsidRDefault="00000000">
            <w:pPr>
              <w:spacing w:after="0"/>
              <w:rPr>
                <w:sz w:val="18"/>
                <w:szCs w:val="18"/>
              </w:rPr>
            </w:pPr>
            <w:r>
              <w:rPr>
                <w:sz w:val="18"/>
                <w:szCs w:val="18"/>
              </w:rPr>
              <w:t xml:space="preserve">Guidance followed for the use of Claude in drafting and analysis throughout the Blueprint. </w:t>
            </w:r>
          </w:p>
        </w:tc>
      </w:tr>
      <w:tr w:rsidR="00031725" w14:paraId="175BFCFB" w14:textId="77777777">
        <w:trPr>
          <w:trHeight w:val="645"/>
        </w:trPr>
        <w:tc>
          <w:tcPr>
            <w:tcW w:w="286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4F6" w14:textId="77777777" w:rsidR="00031725" w:rsidRDefault="00031725">
            <w:pPr>
              <w:spacing w:after="0"/>
              <w:rPr>
                <w:color w:val="0563C1"/>
                <w:sz w:val="18"/>
                <w:szCs w:val="18"/>
                <w:u w:val="single"/>
              </w:rPr>
            </w:pPr>
            <w:hyperlink r:id="rId147">
              <w:r>
                <w:rPr>
                  <w:color w:val="0563C1"/>
                  <w:sz w:val="18"/>
                  <w:szCs w:val="18"/>
                  <w:u w:val="single"/>
                </w:rPr>
                <w:t>RDA Decentralised Action Repository recommendations</w:t>
              </w:r>
            </w:hyperlink>
          </w:p>
        </w:tc>
        <w:tc>
          <w:tcPr>
            <w:tcW w:w="615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4F7" w14:textId="77777777" w:rsidR="00031725" w:rsidRDefault="00000000">
            <w:pPr>
              <w:spacing w:after="0"/>
              <w:rPr>
                <w:sz w:val="18"/>
                <w:szCs w:val="18"/>
              </w:rPr>
            </w:pPr>
            <w:r>
              <w:rPr>
                <w:sz w:val="18"/>
                <w:szCs w:val="18"/>
              </w:rPr>
              <w:t xml:space="preserve">RDA recommendations that could inspire a decentralised action repository supporting full agent traceability. </w:t>
            </w:r>
          </w:p>
        </w:tc>
      </w:tr>
      <w:tr w:rsidR="00031725" w14:paraId="3F04DA43" w14:textId="77777777">
        <w:trPr>
          <w:trHeight w:val="645"/>
        </w:trPr>
        <w:tc>
          <w:tcPr>
            <w:tcW w:w="2865"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4F8" w14:textId="77777777" w:rsidR="00031725" w:rsidRDefault="00031725">
            <w:pPr>
              <w:spacing w:after="0"/>
              <w:rPr>
                <w:color w:val="0563C1"/>
                <w:sz w:val="18"/>
                <w:szCs w:val="18"/>
                <w:u w:val="single"/>
              </w:rPr>
            </w:pPr>
            <w:hyperlink r:id="rId148">
              <w:r>
                <w:rPr>
                  <w:color w:val="0563C1"/>
                  <w:sz w:val="18"/>
                  <w:szCs w:val="18"/>
                  <w:u w:val="single"/>
                </w:rPr>
                <w:t>RDA maDMP Working Group</w:t>
              </w:r>
            </w:hyperlink>
          </w:p>
        </w:tc>
        <w:tc>
          <w:tcPr>
            <w:tcW w:w="6150"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4F9" w14:textId="77777777" w:rsidR="00031725" w:rsidRDefault="00000000">
            <w:pPr>
              <w:spacing w:after="0"/>
              <w:rPr>
                <w:sz w:val="18"/>
                <w:szCs w:val="18"/>
              </w:rPr>
            </w:pPr>
            <w:r>
              <w:rPr>
                <w:sz w:val="18"/>
                <w:szCs w:val="18"/>
              </w:rPr>
              <w:t xml:space="preserve">Maintains a fuller list of DMP tools compatible with machine-actionable Data Management Plans. </w:t>
            </w:r>
          </w:p>
        </w:tc>
      </w:tr>
    </w:tbl>
    <w:p w14:paraId="000004FA" w14:textId="77777777" w:rsidR="00031725" w:rsidRDefault="00000000">
      <w:pPr>
        <w:spacing w:before="200" w:after="80"/>
        <w:rPr>
          <w:b/>
          <w:bCs/>
        </w:rPr>
      </w:pPr>
      <w:r>
        <w:rPr>
          <w:b/>
          <w:bCs/>
        </w:rPr>
        <w:t>FAIR, CARE and Indigenous Data</w:t>
      </w:r>
    </w:p>
    <w:tbl>
      <w:tblPr>
        <w:tblStyle w:val="ae"/>
        <w:tblW w:w="90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35"/>
        <w:gridCol w:w="6180"/>
      </w:tblGrid>
      <w:tr w:rsidR="00031725" w14:paraId="38361535" w14:textId="77777777">
        <w:trPr>
          <w:trHeight w:val="405"/>
        </w:trPr>
        <w:tc>
          <w:tcPr>
            <w:tcW w:w="2835" w:type="dxa"/>
            <w:tcBorders>
              <w:top w:val="single" w:sz="5" w:space="0" w:color="005B52"/>
              <w:left w:val="single" w:sz="5" w:space="0" w:color="005B52"/>
              <w:bottom w:val="single" w:sz="5" w:space="0" w:color="005B52"/>
              <w:right w:val="single" w:sz="5" w:space="0" w:color="005B52"/>
            </w:tcBorders>
            <w:shd w:val="clear" w:color="auto" w:fill="0F6E56"/>
            <w:tcMar>
              <w:top w:w="80" w:type="dxa"/>
              <w:left w:w="120" w:type="dxa"/>
              <w:bottom w:w="80" w:type="dxa"/>
              <w:right w:w="120" w:type="dxa"/>
            </w:tcMar>
          </w:tcPr>
          <w:p w14:paraId="000004FB" w14:textId="77777777" w:rsidR="00031725" w:rsidRDefault="00000000">
            <w:pPr>
              <w:spacing w:after="0"/>
              <w:rPr>
                <w:b/>
                <w:bCs/>
                <w:color w:val="FFFFFF"/>
                <w:sz w:val="18"/>
                <w:szCs w:val="18"/>
              </w:rPr>
            </w:pPr>
            <w:r>
              <w:rPr>
                <w:b/>
                <w:bCs/>
                <w:color w:val="FFFFFF"/>
                <w:sz w:val="18"/>
                <w:szCs w:val="18"/>
              </w:rPr>
              <w:t>Resource</w:t>
            </w:r>
          </w:p>
        </w:tc>
        <w:tc>
          <w:tcPr>
            <w:tcW w:w="6180" w:type="dxa"/>
            <w:tcBorders>
              <w:top w:val="single" w:sz="5" w:space="0" w:color="005B52"/>
              <w:left w:val="single" w:sz="5" w:space="0" w:color="005B52"/>
              <w:bottom w:val="single" w:sz="5" w:space="0" w:color="005B52"/>
              <w:right w:val="single" w:sz="5" w:space="0" w:color="005B52"/>
            </w:tcBorders>
            <w:shd w:val="clear" w:color="auto" w:fill="0F6E56"/>
            <w:tcMar>
              <w:top w:w="80" w:type="dxa"/>
              <w:left w:w="120" w:type="dxa"/>
              <w:bottom w:w="80" w:type="dxa"/>
              <w:right w:w="120" w:type="dxa"/>
            </w:tcMar>
          </w:tcPr>
          <w:p w14:paraId="000004FC" w14:textId="77777777" w:rsidR="00031725" w:rsidRDefault="00000000">
            <w:pPr>
              <w:spacing w:after="0"/>
              <w:rPr>
                <w:b/>
                <w:bCs/>
                <w:color w:val="FFFFFF"/>
                <w:sz w:val="18"/>
                <w:szCs w:val="18"/>
              </w:rPr>
            </w:pPr>
            <w:r>
              <w:rPr>
                <w:b/>
                <w:bCs/>
                <w:color w:val="FFFFFF"/>
                <w:sz w:val="18"/>
                <w:szCs w:val="18"/>
              </w:rPr>
              <w:t>Description and source section</w:t>
            </w:r>
          </w:p>
        </w:tc>
      </w:tr>
      <w:tr w:rsidR="00031725" w14:paraId="0DD85611" w14:textId="77777777">
        <w:trPr>
          <w:trHeight w:val="645"/>
        </w:trPr>
        <w:tc>
          <w:tcPr>
            <w:tcW w:w="283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4FD" w14:textId="77777777" w:rsidR="00031725" w:rsidRDefault="00031725">
            <w:pPr>
              <w:spacing w:after="0"/>
              <w:rPr>
                <w:color w:val="0563C1"/>
                <w:sz w:val="18"/>
                <w:szCs w:val="18"/>
                <w:u w:val="single"/>
              </w:rPr>
            </w:pPr>
            <w:hyperlink r:id="rId149">
              <w:r>
                <w:rPr>
                  <w:color w:val="0563C1"/>
                  <w:sz w:val="18"/>
                  <w:szCs w:val="18"/>
                  <w:u w:val="single"/>
                </w:rPr>
                <w:t>FAIR Principles</w:t>
              </w:r>
            </w:hyperlink>
          </w:p>
        </w:tc>
        <w:tc>
          <w:tcPr>
            <w:tcW w:w="618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4FE" w14:textId="77777777" w:rsidR="00031725" w:rsidRDefault="00000000">
            <w:pPr>
              <w:spacing w:after="0"/>
              <w:rPr>
                <w:sz w:val="18"/>
                <w:szCs w:val="18"/>
              </w:rPr>
            </w:pPr>
            <w:r>
              <w:rPr>
                <w:sz w:val="18"/>
                <w:szCs w:val="18"/>
              </w:rPr>
              <w:t xml:space="preserve">The Findable, Accessible, Interoperable, Reusable principles underpinning the Data Director. </w:t>
            </w:r>
          </w:p>
        </w:tc>
      </w:tr>
      <w:tr w:rsidR="00031725" w14:paraId="3F6A8C6A" w14:textId="77777777">
        <w:trPr>
          <w:trHeight w:val="630"/>
        </w:trPr>
        <w:tc>
          <w:tcPr>
            <w:tcW w:w="2835"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4FF" w14:textId="77777777" w:rsidR="00031725" w:rsidRDefault="00031725">
            <w:pPr>
              <w:spacing w:after="0"/>
              <w:rPr>
                <w:color w:val="0563C1"/>
                <w:sz w:val="18"/>
                <w:szCs w:val="18"/>
                <w:u w:val="single"/>
              </w:rPr>
            </w:pPr>
            <w:hyperlink r:id="rId150">
              <w:r>
                <w:rPr>
                  <w:color w:val="0563C1"/>
                  <w:sz w:val="18"/>
                  <w:szCs w:val="18"/>
                  <w:u w:val="single"/>
                </w:rPr>
                <w:t>Comprehensive FAIR Principles paper (Wilkinson et al.)</w:t>
              </w:r>
            </w:hyperlink>
          </w:p>
        </w:tc>
        <w:tc>
          <w:tcPr>
            <w:tcW w:w="6180"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00" w14:textId="77777777" w:rsidR="00031725" w:rsidRDefault="00000000">
            <w:pPr>
              <w:spacing w:after="0"/>
              <w:rPr>
                <w:sz w:val="18"/>
                <w:szCs w:val="18"/>
              </w:rPr>
            </w:pPr>
            <w:r>
              <w:rPr>
                <w:sz w:val="18"/>
                <w:szCs w:val="18"/>
              </w:rPr>
              <w:t xml:space="preserve">Foundational publication defining the FAIR principles. </w:t>
            </w:r>
          </w:p>
        </w:tc>
      </w:tr>
      <w:tr w:rsidR="00031725" w14:paraId="759987DC" w14:textId="77777777">
        <w:trPr>
          <w:trHeight w:val="645"/>
        </w:trPr>
        <w:tc>
          <w:tcPr>
            <w:tcW w:w="283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01" w14:textId="77777777" w:rsidR="00031725" w:rsidRDefault="00031725">
            <w:pPr>
              <w:spacing w:after="0"/>
              <w:rPr>
                <w:color w:val="0563C1"/>
                <w:sz w:val="18"/>
                <w:szCs w:val="18"/>
                <w:u w:val="single"/>
              </w:rPr>
            </w:pPr>
            <w:hyperlink r:id="rId151">
              <w:r>
                <w:rPr>
                  <w:color w:val="0563C1"/>
                  <w:sz w:val="18"/>
                  <w:szCs w:val="18"/>
                  <w:u w:val="single"/>
                </w:rPr>
                <w:t>CARE Principles for Indigenous Data Governance</w:t>
              </w:r>
            </w:hyperlink>
          </w:p>
        </w:tc>
        <w:tc>
          <w:tcPr>
            <w:tcW w:w="618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02" w14:textId="77777777" w:rsidR="00031725" w:rsidRDefault="00000000">
            <w:pPr>
              <w:spacing w:after="0"/>
              <w:rPr>
                <w:sz w:val="18"/>
                <w:szCs w:val="18"/>
              </w:rPr>
            </w:pPr>
            <w:r>
              <w:rPr>
                <w:sz w:val="18"/>
                <w:szCs w:val="18"/>
              </w:rPr>
              <w:t xml:space="preserve">Collective Benefit, Authority to Control, Responsibility and Ethics: principles for Indigenous data governance applied alongside FAIR. </w:t>
            </w:r>
          </w:p>
        </w:tc>
      </w:tr>
      <w:tr w:rsidR="00031725" w14:paraId="1DFDFC75" w14:textId="77777777">
        <w:trPr>
          <w:trHeight w:val="645"/>
        </w:trPr>
        <w:tc>
          <w:tcPr>
            <w:tcW w:w="2835"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03" w14:textId="77777777" w:rsidR="00031725" w:rsidRDefault="00031725">
            <w:pPr>
              <w:spacing w:after="0"/>
              <w:rPr>
                <w:color w:val="0563C1"/>
                <w:sz w:val="18"/>
                <w:szCs w:val="18"/>
                <w:u w:val="single"/>
              </w:rPr>
            </w:pPr>
            <w:hyperlink r:id="rId152">
              <w:r>
                <w:rPr>
                  <w:color w:val="0563C1"/>
                  <w:sz w:val="18"/>
                  <w:szCs w:val="18"/>
                  <w:u w:val="single"/>
                </w:rPr>
                <w:t>Global Indigenous Data Alliance (GIDA)</w:t>
              </w:r>
            </w:hyperlink>
          </w:p>
        </w:tc>
        <w:tc>
          <w:tcPr>
            <w:tcW w:w="6180"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04" w14:textId="77777777" w:rsidR="00031725" w:rsidRDefault="00000000">
            <w:pPr>
              <w:spacing w:after="0"/>
              <w:rPr>
                <w:sz w:val="18"/>
                <w:szCs w:val="18"/>
              </w:rPr>
            </w:pPr>
            <w:r>
              <w:rPr>
                <w:sz w:val="18"/>
                <w:szCs w:val="18"/>
              </w:rPr>
              <w:t xml:space="preserve">Community standards body providing explicit CARE guidance for Indigenous data. </w:t>
            </w:r>
          </w:p>
        </w:tc>
      </w:tr>
      <w:tr w:rsidR="00031725" w14:paraId="33CADFCF" w14:textId="77777777">
        <w:trPr>
          <w:trHeight w:val="615"/>
        </w:trPr>
        <w:tc>
          <w:tcPr>
            <w:tcW w:w="283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05" w14:textId="77777777" w:rsidR="00031725" w:rsidRDefault="00031725">
            <w:pPr>
              <w:spacing w:after="0"/>
              <w:rPr>
                <w:sz w:val="18"/>
                <w:szCs w:val="18"/>
              </w:rPr>
            </w:pPr>
            <w:hyperlink r:id="rId153">
              <w:r>
                <w:rPr>
                  <w:color w:val="1155CC"/>
                  <w:sz w:val="18"/>
                  <w:szCs w:val="18"/>
                  <w:u w:val="single"/>
                </w:rPr>
                <w:t>Local Contexts</w:t>
              </w:r>
            </w:hyperlink>
          </w:p>
        </w:tc>
        <w:tc>
          <w:tcPr>
            <w:tcW w:w="618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06" w14:textId="77777777" w:rsidR="00031725" w:rsidRDefault="00000000">
            <w:pPr>
              <w:spacing w:after="0"/>
              <w:rPr>
                <w:sz w:val="18"/>
                <w:szCs w:val="18"/>
              </w:rPr>
            </w:pPr>
            <w:r>
              <w:rPr>
                <w:sz w:val="18"/>
                <w:szCs w:val="18"/>
              </w:rPr>
              <w:t>External system identified as relevant for meaningful engagement with CARE principles.</w:t>
            </w:r>
          </w:p>
        </w:tc>
      </w:tr>
      <w:tr w:rsidR="00031725" w14:paraId="08F8D0BC" w14:textId="77777777">
        <w:trPr>
          <w:trHeight w:val="585"/>
        </w:trPr>
        <w:tc>
          <w:tcPr>
            <w:tcW w:w="2835"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07" w14:textId="77777777" w:rsidR="00031725" w:rsidRDefault="00031725">
            <w:pPr>
              <w:spacing w:after="0"/>
              <w:rPr>
                <w:color w:val="0563C1"/>
                <w:sz w:val="18"/>
                <w:szCs w:val="18"/>
                <w:u w:val="single"/>
              </w:rPr>
            </w:pPr>
            <w:hyperlink r:id="rId154">
              <w:r>
                <w:rPr>
                  <w:color w:val="0563C1"/>
                  <w:sz w:val="18"/>
                  <w:szCs w:val="18"/>
                  <w:u w:val="single"/>
                </w:rPr>
                <w:t>GO FAIR</w:t>
              </w:r>
            </w:hyperlink>
          </w:p>
        </w:tc>
        <w:tc>
          <w:tcPr>
            <w:tcW w:w="6180"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08" w14:textId="77777777" w:rsidR="00031725" w:rsidRDefault="00000000">
            <w:pPr>
              <w:spacing w:after="0"/>
              <w:rPr>
                <w:sz w:val="18"/>
                <w:szCs w:val="18"/>
              </w:rPr>
            </w:pPr>
            <w:r>
              <w:rPr>
                <w:sz w:val="18"/>
                <w:szCs w:val="18"/>
              </w:rPr>
              <w:t>Community resource referenced for domain-appropriate standards recommendations and the FAIR principles.</w:t>
            </w:r>
          </w:p>
        </w:tc>
      </w:tr>
    </w:tbl>
    <w:p w14:paraId="00000509" w14:textId="77777777" w:rsidR="00031725" w:rsidRDefault="00031725"/>
    <w:p w14:paraId="0000050A" w14:textId="77777777" w:rsidR="00031725" w:rsidRDefault="00000000">
      <w:pPr>
        <w:rPr>
          <w:b/>
          <w:bCs/>
        </w:rPr>
      </w:pPr>
      <w:r>
        <w:rPr>
          <w:b/>
          <w:bCs/>
        </w:rPr>
        <w:t>Persistent Identifiers and Identifier Frameworks</w:t>
      </w:r>
    </w:p>
    <w:tbl>
      <w:tblPr>
        <w:tblStyle w:val="af"/>
        <w:tblW w:w="90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35"/>
        <w:gridCol w:w="6180"/>
      </w:tblGrid>
      <w:tr w:rsidR="00031725" w14:paraId="4C6C692E" w14:textId="77777777">
        <w:trPr>
          <w:trHeight w:val="405"/>
        </w:trPr>
        <w:tc>
          <w:tcPr>
            <w:tcW w:w="2835" w:type="dxa"/>
            <w:tcBorders>
              <w:top w:val="single" w:sz="5" w:space="0" w:color="005B52"/>
              <w:left w:val="single" w:sz="5" w:space="0" w:color="005B52"/>
              <w:bottom w:val="single" w:sz="5" w:space="0" w:color="005B52"/>
              <w:right w:val="single" w:sz="5" w:space="0" w:color="005B52"/>
            </w:tcBorders>
            <w:shd w:val="clear" w:color="auto" w:fill="0F6E56"/>
            <w:tcMar>
              <w:top w:w="80" w:type="dxa"/>
              <w:left w:w="120" w:type="dxa"/>
              <w:bottom w:w="80" w:type="dxa"/>
              <w:right w:w="120" w:type="dxa"/>
            </w:tcMar>
          </w:tcPr>
          <w:p w14:paraId="0000050B" w14:textId="77777777" w:rsidR="00031725" w:rsidRDefault="00000000">
            <w:pPr>
              <w:spacing w:after="0"/>
              <w:rPr>
                <w:b/>
                <w:bCs/>
                <w:color w:val="FFFFFF"/>
                <w:sz w:val="18"/>
                <w:szCs w:val="18"/>
              </w:rPr>
            </w:pPr>
            <w:r>
              <w:rPr>
                <w:b/>
                <w:bCs/>
                <w:color w:val="FFFFFF"/>
                <w:sz w:val="18"/>
                <w:szCs w:val="18"/>
              </w:rPr>
              <w:t xml:space="preserve">Resource </w:t>
            </w:r>
          </w:p>
        </w:tc>
        <w:tc>
          <w:tcPr>
            <w:tcW w:w="6180" w:type="dxa"/>
            <w:tcBorders>
              <w:top w:val="single" w:sz="5" w:space="0" w:color="005B52"/>
              <w:left w:val="single" w:sz="5" w:space="0" w:color="005B52"/>
              <w:bottom w:val="single" w:sz="5" w:space="0" w:color="005B52"/>
              <w:right w:val="single" w:sz="5" w:space="0" w:color="005B52"/>
            </w:tcBorders>
            <w:shd w:val="clear" w:color="auto" w:fill="0F6E56"/>
            <w:tcMar>
              <w:top w:w="80" w:type="dxa"/>
              <w:left w:w="120" w:type="dxa"/>
              <w:bottom w:w="80" w:type="dxa"/>
              <w:right w:w="120" w:type="dxa"/>
            </w:tcMar>
          </w:tcPr>
          <w:p w14:paraId="0000050C" w14:textId="77777777" w:rsidR="00031725" w:rsidRDefault="00000000">
            <w:pPr>
              <w:spacing w:after="0"/>
              <w:rPr>
                <w:b/>
                <w:bCs/>
                <w:color w:val="FFFFFF"/>
                <w:sz w:val="18"/>
                <w:szCs w:val="18"/>
              </w:rPr>
            </w:pPr>
            <w:r>
              <w:rPr>
                <w:b/>
                <w:bCs/>
                <w:color w:val="FFFFFF"/>
                <w:sz w:val="18"/>
                <w:szCs w:val="18"/>
              </w:rPr>
              <w:t>Description and source section</w:t>
            </w:r>
          </w:p>
        </w:tc>
      </w:tr>
      <w:tr w:rsidR="00031725" w14:paraId="760BDBFB" w14:textId="77777777">
        <w:trPr>
          <w:trHeight w:val="645"/>
        </w:trPr>
        <w:tc>
          <w:tcPr>
            <w:tcW w:w="283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0D" w14:textId="77777777" w:rsidR="00031725" w:rsidRDefault="00031725">
            <w:pPr>
              <w:spacing w:after="0"/>
              <w:rPr>
                <w:color w:val="0563C1"/>
                <w:sz w:val="18"/>
                <w:szCs w:val="18"/>
                <w:u w:val="single"/>
              </w:rPr>
            </w:pPr>
            <w:hyperlink r:id="rId155">
              <w:r>
                <w:rPr>
                  <w:color w:val="0563C1"/>
                  <w:sz w:val="18"/>
                  <w:szCs w:val="18"/>
                  <w:u w:val="single"/>
                </w:rPr>
                <w:t>DataCite</w:t>
              </w:r>
            </w:hyperlink>
          </w:p>
        </w:tc>
        <w:tc>
          <w:tcPr>
            <w:tcW w:w="618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0E" w14:textId="77777777" w:rsidR="00031725" w:rsidRDefault="00000000">
            <w:pPr>
              <w:spacing w:after="0"/>
              <w:rPr>
                <w:sz w:val="18"/>
                <w:szCs w:val="18"/>
              </w:rPr>
            </w:pPr>
            <w:r>
              <w:rPr>
                <w:sz w:val="18"/>
                <w:szCs w:val="18"/>
              </w:rPr>
              <w:t xml:space="preserve">Primary membership model for institutional DOI minting for deposited datasets. </w:t>
            </w:r>
          </w:p>
        </w:tc>
      </w:tr>
      <w:tr w:rsidR="00031725" w14:paraId="400316F5" w14:textId="77777777">
        <w:trPr>
          <w:trHeight w:val="630"/>
        </w:trPr>
        <w:tc>
          <w:tcPr>
            <w:tcW w:w="2835"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0F" w14:textId="77777777" w:rsidR="00031725" w:rsidRDefault="00031725">
            <w:pPr>
              <w:spacing w:after="0"/>
              <w:rPr>
                <w:color w:val="0563C1"/>
                <w:sz w:val="18"/>
                <w:szCs w:val="18"/>
                <w:u w:val="single"/>
              </w:rPr>
            </w:pPr>
            <w:hyperlink r:id="rId156">
              <w:r>
                <w:rPr>
                  <w:color w:val="0563C1"/>
                  <w:sz w:val="18"/>
                  <w:szCs w:val="18"/>
                  <w:u w:val="single"/>
                </w:rPr>
                <w:t>FAIRsharing identifier schema catalogue</w:t>
              </w:r>
            </w:hyperlink>
          </w:p>
        </w:tc>
        <w:tc>
          <w:tcPr>
            <w:tcW w:w="6180"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10" w14:textId="77777777" w:rsidR="00031725" w:rsidRDefault="00000000">
            <w:pPr>
              <w:spacing w:after="0"/>
              <w:rPr>
                <w:sz w:val="18"/>
                <w:szCs w:val="18"/>
              </w:rPr>
            </w:pPr>
            <w:r>
              <w:rPr>
                <w:sz w:val="18"/>
                <w:szCs w:val="18"/>
              </w:rPr>
              <w:t xml:space="preserve">Catalogues identifier schemas by persistence, resolvability and global uniqueness per the EOSC PID definition. </w:t>
            </w:r>
          </w:p>
        </w:tc>
      </w:tr>
      <w:tr w:rsidR="00031725" w14:paraId="519488B3" w14:textId="77777777">
        <w:trPr>
          <w:trHeight w:val="615"/>
        </w:trPr>
        <w:tc>
          <w:tcPr>
            <w:tcW w:w="283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11" w14:textId="77777777" w:rsidR="00031725" w:rsidRDefault="00031725">
            <w:pPr>
              <w:spacing w:after="0"/>
              <w:rPr>
                <w:color w:val="0563C1"/>
                <w:sz w:val="18"/>
                <w:szCs w:val="18"/>
                <w:u w:val="single"/>
              </w:rPr>
            </w:pPr>
            <w:hyperlink r:id="rId157">
              <w:r>
                <w:rPr>
                  <w:color w:val="1155CC"/>
                  <w:sz w:val="18"/>
                  <w:szCs w:val="18"/>
                  <w:u w:val="single"/>
                </w:rPr>
                <w:t>EOSC PID definition</w:t>
              </w:r>
            </w:hyperlink>
          </w:p>
        </w:tc>
        <w:tc>
          <w:tcPr>
            <w:tcW w:w="618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12" w14:textId="77777777" w:rsidR="00031725" w:rsidRDefault="00000000">
            <w:pPr>
              <w:spacing w:after="0"/>
              <w:rPr>
                <w:sz w:val="18"/>
                <w:szCs w:val="18"/>
              </w:rPr>
            </w:pPr>
            <w:r>
              <w:rPr>
                <w:sz w:val="18"/>
                <w:szCs w:val="18"/>
              </w:rPr>
              <w:t>Community-agreed definition of persistent identifier properties referenced in the Blueprint's PID requirements.</w:t>
            </w:r>
          </w:p>
        </w:tc>
      </w:tr>
      <w:tr w:rsidR="00031725" w14:paraId="4A4D10BF" w14:textId="77777777">
        <w:trPr>
          <w:trHeight w:val="645"/>
        </w:trPr>
        <w:tc>
          <w:tcPr>
            <w:tcW w:w="2835"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13" w14:textId="77777777" w:rsidR="00031725" w:rsidRDefault="00031725">
            <w:pPr>
              <w:spacing w:after="0"/>
              <w:rPr>
                <w:color w:val="0563C1"/>
                <w:sz w:val="18"/>
                <w:szCs w:val="18"/>
                <w:u w:val="single"/>
              </w:rPr>
            </w:pPr>
            <w:hyperlink r:id="rId158">
              <w:r>
                <w:rPr>
                  <w:color w:val="0563C1"/>
                  <w:sz w:val="18"/>
                  <w:szCs w:val="18"/>
                  <w:u w:val="single"/>
                </w:rPr>
                <w:t>W3C Decentralised Identifiers (DID) v1.1</w:t>
              </w:r>
            </w:hyperlink>
          </w:p>
        </w:tc>
        <w:tc>
          <w:tcPr>
            <w:tcW w:w="6180"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14" w14:textId="77777777" w:rsidR="00031725" w:rsidRDefault="00000000">
            <w:pPr>
              <w:spacing w:after="0"/>
              <w:rPr>
                <w:sz w:val="18"/>
                <w:szCs w:val="18"/>
              </w:rPr>
            </w:pPr>
            <w:r>
              <w:rPr>
                <w:sz w:val="18"/>
                <w:szCs w:val="18"/>
              </w:rPr>
              <w:t>Standard for decentralised identifiers, proposed as a basis for both dataset and agent identity.</w:t>
            </w:r>
          </w:p>
        </w:tc>
      </w:tr>
      <w:tr w:rsidR="00031725" w14:paraId="09884170" w14:textId="77777777">
        <w:trPr>
          <w:trHeight w:val="600"/>
        </w:trPr>
        <w:tc>
          <w:tcPr>
            <w:tcW w:w="283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15" w14:textId="77777777" w:rsidR="00031725" w:rsidRDefault="00031725">
            <w:pPr>
              <w:spacing w:after="0"/>
              <w:rPr>
                <w:color w:val="0563C1"/>
                <w:sz w:val="18"/>
                <w:szCs w:val="18"/>
                <w:u w:val="single"/>
              </w:rPr>
            </w:pPr>
            <w:hyperlink r:id="rId159">
              <w:r>
                <w:rPr>
                  <w:color w:val="0563C1"/>
                  <w:sz w:val="18"/>
                  <w:szCs w:val="18"/>
                  <w:u w:val="single"/>
                </w:rPr>
                <w:t>ORCID</w:t>
              </w:r>
            </w:hyperlink>
          </w:p>
        </w:tc>
        <w:tc>
          <w:tcPr>
            <w:tcW w:w="618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16" w14:textId="77777777" w:rsidR="00031725" w:rsidRDefault="00000000">
            <w:pPr>
              <w:spacing w:after="0"/>
              <w:rPr>
                <w:sz w:val="18"/>
                <w:szCs w:val="18"/>
              </w:rPr>
            </w:pPr>
            <w:r>
              <w:rPr>
                <w:sz w:val="18"/>
                <w:szCs w:val="18"/>
              </w:rPr>
              <w:t xml:space="preserve">Persistent identifier for researchers; identified as a linking target for related research outputs. </w:t>
            </w:r>
          </w:p>
        </w:tc>
      </w:tr>
      <w:tr w:rsidR="00031725" w14:paraId="4B431531" w14:textId="77777777">
        <w:trPr>
          <w:trHeight w:val="660"/>
        </w:trPr>
        <w:tc>
          <w:tcPr>
            <w:tcW w:w="2835"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17" w14:textId="77777777" w:rsidR="00031725" w:rsidRDefault="00031725">
            <w:pPr>
              <w:spacing w:after="0"/>
              <w:rPr>
                <w:color w:val="0563C1"/>
                <w:sz w:val="18"/>
                <w:szCs w:val="18"/>
                <w:u w:val="single"/>
              </w:rPr>
            </w:pPr>
            <w:hyperlink r:id="rId160">
              <w:r>
                <w:rPr>
                  <w:color w:val="0563C1"/>
                  <w:sz w:val="18"/>
                  <w:szCs w:val="18"/>
                  <w:u w:val="single"/>
                </w:rPr>
                <w:t>ROR (Research Organisation Registry)</w:t>
              </w:r>
            </w:hyperlink>
          </w:p>
        </w:tc>
        <w:tc>
          <w:tcPr>
            <w:tcW w:w="6180"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18" w14:textId="77777777" w:rsidR="00031725" w:rsidRDefault="00000000">
            <w:pPr>
              <w:spacing w:after="0"/>
              <w:rPr>
                <w:sz w:val="18"/>
                <w:szCs w:val="18"/>
              </w:rPr>
            </w:pPr>
            <w:r>
              <w:rPr>
                <w:sz w:val="18"/>
                <w:szCs w:val="18"/>
              </w:rPr>
              <w:t>Persistent identifier for research organisations; identified as a linking target for related research outputs.</w:t>
            </w:r>
          </w:p>
        </w:tc>
      </w:tr>
    </w:tbl>
    <w:p w14:paraId="00000519" w14:textId="77777777" w:rsidR="00031725" w:rsidRDefault="00031725">
      <w:pPr>
        <w:rPr>
          <w:b/>
          <w:bCs/>
        </w:rPr>
      </w:pPr>
    </w:p>
    <w:p w14:paraId="0000051A" w14:textId="77777777" w:rsidR="00031725" w:rsidRDefault="00000000">
      <w:pPr>
        <w:rPr>
          <w:b/>
          <w:bCs/>
        </w:rPr>
      </w:pPr>
      <w:r>
        <w:rPr>
          <w:b/>
          <w:bCs/>
        </w:rPr>
        <w:t>Repository and Standards Registries</w:t>
      </w:r>
    </w:p>
    <w:tbl>
      <w:tblPr>
        <w:tblStyle w:val="af0"/>
        <w:tblW w:w="90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20"/>
        <w:gridCol w:w="6195"/>
      </w:tblGrid>
      <w:tr w:rsidR="00031725" w14:paraId="6790D8C8" w14:textId="77777777">
        <w:trPr>
          <w:trHeight w:val="390"/>
        </w:trPr>
        <w:tc>
          <w:tcPr>
            <w:tcW w:w="2820" w:type="dxa"/>
            <w:tcBorders>
              <w:top w:val="single" w:sz="5" w:space="0" w:color="005B52"/>
              <w:left w:val="single" w:sz="5" w:space="0" w:color="005B52"/>
              <w:bottom w:val="single" w:sz="5" w:space="0" w:color="005B52"/>
              <w:right w:val="single" w:sz="5" w:space="0" w:color="005B52"/>
            </w:tcBorders>
            <w:shd w:val="clear" w:color="auto" w:fill="0F6E56"/>
            <w:tcMar>
              <w:top w:w="80" w:type="dxa"/>
              <w:left w:w="120" w:type="dxa"/>
              <w:bottom w:w="80" w:type="dxa"/>
              <w:right w:w="120" w:type="dxa"/>
            </w:tcMar>
          </w:tcPr>
          <w:p w14:paraId="0000051B" w14:textId="77777777" w:rsidR="00031725" w:rsidRDefault="00000000">
            <w:pPr>
              <w:spacing w:after="0"/>
              <w:rPr>
                <w:b/>
                <w:bCs/>
                <w:color w:val="FFFFFF"/>
                <w:sz w:val="18"/>
                <w:szCs w:val="18"/>
              </w:rPr>
            </w:pPr>
            <w:r>
              <w:rPr>
                <w:b/>
                <w:bCs/>
                <w:color w:val="FFFFFF"/>
                <w:sz w:val="18"/>
                <w:szCs w:val="18"/>
              </w:rPr>
              <w:t>Resource</w:t>
            </w:r>
          </w:p>
        </w:tc>
        <w:tc>
          <w:tcPr>
            <w:tcW w:w="6195" w:type="dxa"/>
            <w:tcBorders>
              <w:top w:val="single" w:sz="5" w:space="0" w:color="005B52"/>
              <w:left w:val="single" w:sz="5" w:space="0" w:color="005B52"/>
              <w:bottom w:val="single" w:sz="5" w:space="0" w:color="005B52"/>
              <w:right w:val="single" w:sz="5" w:space="0" w:color="005B52"/>
            </w:tcBorders>
            <w:shd w:val="clear" w:color="auto" w:fill="0F6E56"/>
            <w:tcMar>
              <w:top w:w="80" w:type="dxa"/>
              <w:left w:w="120" w:type="dxa"/>
              <w:bottom w:w="80" w:type="dxa"/>
              <w:right w:w="120" w:type="dxa"/>
            </w:tcMar>
          </w:tcPr>
          <w:p w14:paraId="0000051C" w14:textId="77777777" w:rsidR="00031725" w:rsidRDefault="00000000">
            <w:pPr>
              <w:spacing w:after="0"/>
              <w:rPr>
                <w:b/>
                <w:bCs/>
                <w:color w:val="FFFFFF"/>
                <w:sz w:val="18"/>
                <w:szCs w:val="18"/>
              </w:rPr>
            </w:pPr>
            <w:r>
              <w:rPr>
                <w:b/>
                <w:bCs/>
                <w:color w:val="FFFFFF"/>
                <w:sz w:val="18"/>
                <w:szCs w:val="18"/>
              </w:rPr>
              <w:t>Description and source section</w:t>
            </w:r>
          </w:p>
        </w:tc>
      </w:tr>
      <w:tr w:rsidR="00031725" w14:paraId="3AD964A5" w14:textId="77777777">
        <w:trPr>
          <w:trHeight w:val="630"/>
        </w:trPr>
        <w:tc>
          <w:tcPr>
            <w:tcW w:w="282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1D" w14:textId="77777777" w:rsidR="00031725" w:rsidRDefault="00031725">
            <w:pPr>
              <w:spacing w:after="0"/>
              <w:rPr>
                <w:color w:val="0563C1"/>
                <w:sz w:val="18"/>
                <w:szCs w:val="18"/>
                <w:u w:val="single"/>
              </w:rPr>
            </w:pPr>
            <w:hyperlink r:id="rId161">
              <w:r>
                <w:rPr>
                  <w:color w:val="0563C1"/>
                  <w:sz w:val="18"/>
                  <w:szCs w:val="18"/>
                  <w:u w:val="single"/>
                </w:rPr>
                <w:t>FAIRsharing</w:t>
              </w:r>
            </w:hyperlink>
          </w:p>
        </w:tc>
        <w:tc>
          <w:tcPr>
            <w:tcW w:w="619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1E" w14:textId="77777777" w:rsidR="00031725" w:rsidRDefault="00000000">
            <w:pPr>
              <w:spacing w:after="0"/>
              <w:rPr>
                <w:sz w:val="18"/>
                <w:szCs w:val="18"/>
              </w:rPr>
            </w:pPr>
            <w:r>
              <w:rPr>
                <w:sz w:val="18"/>
                <w:szCs w:val="18"/>
              </w:rPr>
              <w:t xml:space="preserve">Curated registry of community-defined standards, databases, policies, identifier schemas and reporting guidelines across disciplines. </w:t>
            </w:r>
          </w:p>
        </w:tc>
      </w:tr>
      <w:tr w:rsidR="00031725" w14:paraId="40F6EEAD" w14:textId="77777777">
        <w:trPr>
          <w:trHeight w:val="555"/>
        </w:trPr>
        <w:tc>
          <w:tcPr>
            <w:tcW w:w="2820"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1F" w14:textId="77777777" w:rsidR="00031725" w:rsidRDefault="00031725">
            <w:pPr>
              <w:spacing w:after="0"/>
              <w:rPr>
                <w:color w:val="0563C1"/>
                <w:sz w:val="18"/>
                <w:szCs w:val="18"/>
                <w:u w:val="single"/>
              </w:rPr>
            </w:pPr>
            <w:hyperlink r:id="rId162">
              <w:r>
                <w:rPr>
                  <w:color w:val="0563C1"/>
                  <w:sz w:val="18"/>
                  <w:szCs w:val="18"/>
                  <w:u w:val="single"/>
                </w:rPr>
                <w:t>FAIRsharing MCP server</w:t>
              </w:r>
            </w:hyperlink>
          </w:p>
        </w:tc>
        <w:tc>
          <w:tcPr>
            <w:tcW w:w="6195"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20" w14:textId="77777777" w:rsidR="00031725" w:rsidRDefault="00000000">
            <w:pPr>
              <w:spacing w:after="0"/>
              <w:rPr>
                <w:sz w:val="18"/>
                <w:szCs w:val="18"/>
              </w:rPr>
            </w:pPr>
            <w:r>
              <w:rPr>
                <w:sz w:val="18"/>
                <w:szCs w:val="18"/>
              </w:rPr>
              <w:t xml:space="preserve">MCP server enabling direct integration of FAIRsharing with the Data Director. </w:t>
            </w:r>
          </w:p>
        </w:tc>
      </w:tr>
      <w:tr w:rsidR="00031725" w14:paraId="5C2F296E" w14:textId="77777777">
        <w:trPr>
          <w:trHeight w:val="645"/>
        </w:trPr>
        <w:tc>
          <w:tcPr>
            <w:tcW w:w="282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21" w14:textId="77777777" w:rsidR="00031725" w:rsidRDefault="00031725">
            <w:pPr>
              <w:spacing w:after="0"/>
              <w:rPr>
                <w:color w:val="0563C1"/>
                <w:sz w:val="18"/>
                <w:szCs w:val="18"/>
                <w:u w:val="single"/>
              </w:rPr>
            </w:pPr>
            <w:hyperlink r:id="rId163">
              <w:r>
                <w:rPr>
                  <w:color w:val="0563C1"/>
                  <w:sz w:val="18"/>
                  <w:szCs w:val="18"/>
                  <w:u w:val="single"/>
                </w:rPr>
                <w:t>re3data</w:t>
              </w:r>
            </w:hyperlink>
          </w:p>
        </w:tc>
        <w:tc>
          <w:tcPr>
            <w:tcW w:w="619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22" w14:textId="77777777" w:rsidR="00031725" w:rsidRDefault="00000000">
            <w:pPr>
              <w:spacing w:after="0"/>
              <w:rPr>
                <w:sz w:val="18"/>
                <w:szCs w:val="18"/>
              </w:rPr>
            </w:pPr>
            <w:r>
              <w:rPr>
                <w:sz w:val="18"/>
                <w:szCs w:val="18"/>
              </w:rPr>
              <w:t xml:space="preserve">Registry of research data repositories with filtering by subject, access type and deposit conditions. </w:t>
            </w:r>
          </w:p>
        </w:tc>
      </w:tr>
      <w:tr w:rsidR="00031725" w14:paraId="18553ED9" w14:textId="77777777">
        <w:trPr>
          <w:trHeight w:val="645"/>
        </w:trPr>
        <w:tc>
          <w:tcPr>
            <w:tcW w:w="2820"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23" w14:textId="77777777" w:rsidR="00031725" w:rsidRDefault="00031725">
            <w:pPr>
              <w:spacing w:after="0"/>
              <w:rPr>
                <w:color w:val="0563C1"/>
                <w:sz w:val="18"/>
                <w:szCs w:val="18"/>
                <w:u w:val="single"/>
              </w:rPr>
            </w:pPr>
            <w:hyperlink r:id="rId164">
              <w:r>
                <w:rPr>
                  <w:color w:val="0563C1"/>
                  <w:sz w:val="18"/>
                  <w:szCs w:val="18"/>
                  <w:u w:val="single"/>
                </w:rPr>
                <w:t>Cornell Data Storage Finder</w:t>
              </w:r>
            </w:hyperlink>
          </w:p>
        </w:tc>
        <w:tc>
          <w:tcPr>
            <w:tcW w:w="6195"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24" w14:textId="77777777" w:rsidR="00031725" w:rsidRDefault="00000000">
            <w:pPr>
              <w:spacing w:after="0"/>
              <w:rPr>
                <w:sz w:val="18"/>
                <w:szCs w:val="18"/>
              </w:rPr>
            </w:pPr>
            <w:r>
              <w:rPr>
                <w:sz w:val="18"/>
                <w:szCs w:val="18"/>
              </w:rPr>
              <w:t xml:space="preserve">Open-source tool for localised repository and storage recommendations; suggested as a possible reference implementation. </w:t>
            </w:r>
          </w:p>
        </w:tc>
      </w:tr>
      <w:tr w:rsidR="00031725" w14:paraId="1958D52A" w14:textId="77777777">
        <w:trPr>
          <w:trHeight w:val="645"/>
        </w:trPr>
        <w:tc>
          <w:tcPr>
            <w:tcW w:w="282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25" w14:textId="77777777" w:rsidR="00031725" w:rsidRDefault="00031725">
            <w:pPr>
              <w:spacing w:after="0"/>
              <w:rPr>
                <w:color w:val="0563C1"/>
                <w:sz w:val="18"/>
                <w:szCs w:val="18"/>
                <w:u w:val="single"/>
              </w:rPr>
            </w:pPr>
            <w:hyperlink r:id="rId165">
              <w:r>
                <w:rPr>
                  <w:color w:val="0563C1"/>
                  <w:sz w:val="18"/>
                  <w:szCs w:val="18"/>
                  <w:u w:val="single"/>
                </w:rPr>
                <w:t>CoreTrustSeal</w:t>
              </w:r>
            </w:hyperlink>
          </w:p>
        </w:tc>
        <w:tc>
          <w:tcPr>
            <w:tcW w:w="619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26" w14:textId="77777777" w:rsidR="00031725" w:rsidRDefault="00000000">
            <w:pPr>
              <w:spacing w:after="0"/>
              <w:rPr>
                <w:sz w:val="18"/>
                <w:szCs w:val="18"/>
              </w:rPr>
            </w:pPr>
            <w:r>
              <w:rPr>
                <w:sz w:val="18"/>
                <w:szCs w:val="18"/>
              </w:rPr>
              <w:t xml:space="preserve">Repository certification and trustworthiness scheme; free certification options should be prioritised over paid alternatives. </w:t>
            </w:r>
          </w:p>
        </w:tc>
      </w:tr>
    </w:tbl>
    <w:p w14:paraId="00000527" w14:textId="77777777" w:rsidR="00031725" w:rsidRDefault="00000000">
      <w:pPr>
        <w:spacing w:before="200" w:after="80"/>
        <w:rPr>
          <w:b/>
          <w:bCs/>
        </w:rPr>
      </w:pPr>
      <w:r>
        <w:rPr>
          <w:b/>
          <w:bCs/>
        </w:rPr>
        <w:t>FAIR Evaluation and Quality Tools</w:t>
      </w:r>
    </w:p>
    <w:tbl>
      <w:tblPr>
        <w:tblStyle w:val="af1"/>
        <w:tblW w:w="90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50"/>
        <w:gridCol w:w="6165"/>
      </w:tblGrid>
      <w:tr w:rsidR="00031725" w14:paraId="7FF666EC" w14:textId="77777777">
        <w:trPr>
          <w:trHeight w:val="405"/>
        </w:trPr>
        <w:tc>
          <w:tcPr>
            <w:tcW w:w="2850" w:type="dxa"/>
            <w:tcBorders>
              <w:top w:val="single" w:sz="5" w:space="0" w:color="005B52"/>
              <w:left w:val="single" w:sz="5" w:space="0" w:color="005B52"/>
              <w:bottom w:val="single" w:sz="5" w:space="0" w:color="005B52"/>
              <w:right w:val="single" w:sz="5" w:space="0" w:color="005B52"/>
            </w:tcBorders>
            <w:shd w:val="clear" w:color="auto" w:fill="0F6E56"/>
            <w:tcMar>
              <w:top w:w="80" w:type="dxa"/>
              <w:left w:w="120" w:type="dxa"/>
              <w:bottom w:w="80" w:type="dxa"/>
              <w:right w:w="120" w:type="dxa"/>
            </w:tcMar>
          </w:tcPr>
          <w:p w14:paraId="00000528" w14:textId="77777777" w:rsidR="00031725" w:rsidRDefault="00000000">
            <w:pPr>
              <w:spacing w:after="0"/>
              <w:rPr>
                <w:b/>
                <w:bCs/>
                <w:color w:val="FFFFFF"/>
                <w:sz w:val="18"/>
                <w:szCs w:val="18"/>
              </w:rPr>
            </w:pPr>
            <w:r>
              <w:rPr>
                <w:b/>
                <w:bCs/>
                <w:color w:val="FFFFFF"/>
                <w:sz w:val="18"/>
                <w:szCs w:val="18"/>
              </w:rPr>
              <w:t>Resource</w:t>
            </w:r>
          </w:p>
        </w:tc>
        <w:tc>
          <w:tcPr>
            <w:tcW w:w="6165" w:type="dxa"/>
            <w:tcBorders>
              <w:top w:val="single" w:sz="5" w:space="0" w:color="005B52"/>
              <w:left w:val="single" w:sz="5" w:space="0" w:color="005B52"/>
              <w:bottom w:val="single" w:sz="5" w:space="0" w:color="005B52"/>
              <w:right w:val="single" w:sz="5" w:space="0" w:color="005B52"/>
            </w:tcBorders>
            <w:shd w:val="clear" w:color="auto" w:fill="0F6E56"/>
            <w:tcMar>
              <w:top w:w="80" w:type="dxa"/>
              <w:left w:w="120" w:type="dxa"/>
              <w:bottom w:w="80" w:type="dxa"/>
              <w:right w:w="120" w:type="dxa"/>
            </w:tcMar>
          </w:tcPr>
          <w:p w14:paraId="00000529" w14:textId="77777777" w:rsidR="00031725" w:rsidRDefault="00000000">
            <w:pPr>
              <w:spacing w:after="0"/>
              <w:rPr>
                <w:b/>
                <w:bCs/>
                <w:color w:val="FFFFFF"/>
                <w:sz w:val="18"/>
                <w:szCs w:val="18"/>
              </w:rPr>
            </w:pPr>
            <w:r>
              <w:rPr>
                <w:b/>
                <w:bCs/>
                <w:color w:val="FFFFFF"/>
                <w:sz w:val="18"/>
                <w:szCs w:val="18"/>
              </w:rPr>
              <w:t>Description and source section</w:t>
            </w:r>
          </w:p>
        </w:tc>
      </w:tr>
      <w:tr w:rsidR="00031725" w14:paraId="2AD7748E" w14:textId="77777777">
        <w:trPr>
          <w:trHeight w:val="630"/>
        </w:trPr>
        <w:tc>
          <w:tcPr>
            <w:tcW w:w="285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2A" w14:textId="77777777" w:rsidR="00031725" w:rsidRDefault="00031725">
            <w:pPr>
              <w:spacing w:after="0"/>
              <w:rPr>
                <w:color w:val="0563C1"/>
                <w:sz w:val="18"/>
                <w:szCs w:val="18"/>
                <w:u w:val="single"/>
              </w:rPr>
            </w:pPr>
            <w:hyperlink r:id="rId166">
              <w:r>
                <w:rPr>
                  <w:color w:val="0563C1"/>
                  <w:sz w:val="18"/>
                  <w:szCs w:val="18"/>
                  <w:u w:val="single"/>
                </w:rPr>
                <w:t>FAIRassist.org</w:t>
              </w:r>
            </w:hyperlink>
          </w:p>
        </w:tc>
        <w:tc>
          <w:tcPr>
            <w:tcW w:w="616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2B" w14:textId="77777777" w:rsidR="00031725" w:rsidRDefault="00000000">
            <w:pPr>
              <w:spacing w:after="0"/>
              <w:rPr>
                <w:sz w:val="18"/>
                <w:szCs w:val="18"/>
              </w:rPr>
            </w:pPr>
            <w:r>
              <w:rPr>
                <w:sz w:val="18"/>
                <w:szCs w:val="18"/>
              </w:rPr>
              <w:t xml:space="preserve">Full list of community FAIR evaluation tools, including those with OSTrails framework integration. </w:t>
            </w:r>
          </w:p>
        </w:tc>
      </w:tr>
      <w:tr w:rsidR="00031725" w14:paraId="269F38FD" w14:textId="77777777">
        <w:trPr>
          <w:trHeight w:val="375"/>
        </w:trPr>
        <w:tc>
          <w:tcPr>
            <w:tcW w:w="2850"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2C" w14:textId="77777777" w:rsidR="00031725" w:rsidRDefault="00031725">
            <w:pPr>
              <w:spacing w:after="0"/>
              <w:rPr>
                <w:color w:val="0563C1"/>
                <w:sz w:val="18"/>
                <w:szCs w:val="18"/>
                <w:u w:val="single"/>
              </w:rPr>
            </w:pPr>
            <w:hyperlink r:id="rId167">
              <w:r>
                <w:rPr>
                  <w:color w:val="0563C1"/>
                  <w:sz w:val="18"/>
                  <w:szCs w:val="18"/>
                  <w:u w:val="single"/>
                </w:rPr>
                <w:t>F-UJI</w:t>
              </w:r>
            </w:hyperlink>
          </w:p>
        </w:tc>
        <w:tc>
          <w:tcPr>
            <w:tcW w:w="6165"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2D" w14:textId="77777777" w:rsidR="00031725" w:rsidRDefault="00000000">
            <w:pPr>
              <w:spacing w:after="0"/>
              <w:rPr>
                <w:sz w:val="18"/>
                <w:szCs w:val="18"/>
              </w:rPr>
            </w:pPr>
            <w:r>
              <w:rPr>
                <w:sz w:val="18"/>
                <w:szCs w:val="18"/>
              </w:rPr>
              <w:t xml:space="preserve">Automated FAIR data assessment tool. </w:t>
            </w:r>
          </w:p>
        </w:tc>
      </w:tr>
      <w:tr w:rsidR="00031725" w14:paraId="455A0DBD" w14:textId="77777777">
        <w:trPr>
          <w:trHeight w:val="405"/>
        </w:trPr>
        <w:tc>
          <w:tcPr>
            <w:tcW w:w="285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2E" w14:textId="77777777" w:rsidR="00031725" w:rsidRDefault="00031725">
            <w:pPr>
              <w:spacing w:after="0"/>
              <w:rPr>
                <w:color w:val="0563C1"/>
                <w:sz w:val="18"/>
                <w:szCs w:val="18"/>
                <w:u w:val="single"/>
              </w:rPr>
            </w:pPr>
            <w:hyperlink r:id="rId168">
              <w:r>
                <w:rPr>
                  <w:color w:val="0563C1"/>
                  <w:sz w:val="18"/>
                  <w:szCs w:val="18"/>
                  <w:u w:val="single"/>
                </w:rPr>
                <w:t>FAIR EVA</w:t>
              </w:r>
            </w:hyperlink>
          </w:p>
        </w:tc>
        <w:tc>
          <w:tcPr>
            <w:tcW w:w="616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2F" w14:textId="77777777" w:rsidR="00031725" w:rsidRDefault="00000000">
            <w:pPr>
              <w:spacing w:after="0"/>
              <w:rPr>
                <w:sz w:val="18"/>
                <w:szCs w:val="18"/>
              </w:rPr>
            </w:pPr>
            <w:r>
              <w:rPr>
                <w:sz w:val="18"/>
                <w:szCs w:val="18"/>
              </w:rPr>
              <w:t>FAIR Evaluation and Validation Assistant.</w:t>
            </w:r>
          </w:p>
        </w:tc>
      </w:tr>
      <w:tr w:rsidR="00031725" w14:paraId="2ACDDE9B" w14:textId="77777777">
        <w:trPr>
          <w:trHeight w:val="405"/>
        </w:trPr>
        <w:tc>
          <w:tcPr>
            <w:tcW w:w="2850"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30" w14:textId="77777777" w:rsidR="00031725" w:rsidRDefault="00031725">
            <w:pPr>
              <w:spacing w:after="0"/>
              <w:rPr>
                <w:color w:val="0563C1"/>
                <w:sz w:val="18"/>
                <w:szCs w:val="18"/>
                <w:u w:val="single"/>
              </w:rPr>
            </w:pPr>
            <w:hyperlink r:id="rId169">
              <w:r>
                <w:rPr>
                  <w:color w:val="0563C1"/>
                  <w:sz w:val="18"/>
                  <w:szCs w:val="18"/>
                  <w:u w:val="single"/>
                </w:rPr>
                <w:t>FAIR Checker</w:t>
              </w:r>
            </w:hyperlink>
          </w:p>
        </w:tc>
        <w:tc>
          <w:tcPr>
            <w:tcW w:w="6165"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31" w14:textId="77777777" w:rsidR="00031725" w:rsidRDefault="00000000">
            <w:pPr>
              <w:spacing w:after="0"/>
              <w:rPr>
                <w:sz w:val="18"/>
                <w:szCs w:val="18"/>
              </w:rPr>
            </w:pPr>
            <w:r>
              <w:rPr>
                <w:sz w:val="18"/>
                <w:szCs w:val="18"/>
              </w:rPr>
              <w:t xml:space="preserve">FAIR data assessment tool. </w:t>
            </w:r>
          </w:p>
        </w:tc>
      </w:tr>
      <w:tr w:rsidR="00031725" w14:paraId="36E1BD12" w14:textId="77777777">
        <w:trPr>
          <w:trHeight w:val="405"/>
        </w:trPr>
        <w:tc>
          <w:tcPr>
            <w:tcW w:w="285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32" w14:textId="77777777" w:rsidR="00031725" w:rsidRDefault="00031725">
            <w:pPr>
              <w:spacing w:after="0"/>
              <w:rPr>
                <w:color w:val="0563C1"/>
                <w:sz w:val="18"/>
                <w:szCs w:val="18"/>
                <w:u w:val="single"/>
              </w:rPr>
            </w:pPr>
            <w:hyperlink r:id="rId170">
              <w:r>
                <w:rPr>
                  <w:color w:val="0563C1"/>
                  <w:sz w:val="18"/>
                  <w:szCs w:val="18"/>
                  <w:u w:val="single"/>
                </w:rPr>
                <w:t>FAIR Champion</w:t>
              </w:r>
            </w:hyperlink>
          </w:p>
        </w:tc>
        <w:tc>
          <w:tcPr>
            <w:tcW w:w="616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33" w14:textId="77777777" w:rsidR="00031725" w:rsidRDefault="00000000">
            <w:pPr>
              <w:spacing w:after="0"/>
              <w:rPr>
                <w:sz w:val="18"/>
                <w:szCs w:val="18"/>
              </w:rPr>
            </w:pPr>
            <w:r>
              <w:rPr>
                <w:sz w:val="18"/>
                <w:szCs w:val="18"/>
              </w:rPr>
              <w:t xml:space="preserve">FAIR data assessment tool. </w:t>
            </w:r>
          </w:p>
        </w:tc>
      </w:tr>
      <w:tr w:rsidR="00031725" w14:paraId="0D1F3070" w14:textId="77777777">
        <w:trPr>
          <w:trHeight w:val="615"/>
        </w:trPr>
        <w:tc>
          <w:tcPr>
            <w:tcW w:w="2850"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34" w14:textId="77777777" w:rsidR="00031725" w:rsidRDefault="00031725">
            <w:pPr>
              <w:spacing w:after="0"/>
              <w:rPr>
                <w:color w:val="0563C1"/>
                <w:sz w:val="18"/>
                <w:szCs w:val="18"/>
                <w:u w:val="single"/>
              </w:rPr>
            </w:pPr>
            <w:hyperlink r:id="rId171">
              <w:r>
                <w:rPr>
                  <w:color w:val="0563C1"/>
                  <w:sz w:val="18"/>
                  <w:szCs w:val="18"/>
                  <w:u w:val="single"/>
                </w:rPr>
                <w:t>FAIRshake</w:t>
              </w:r>
            </w:hyperlink>
          </w:p>
        </w:tc>
        <w:tc>
          <w:tcPr>
            <w:tcW w:w="6165"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35" w14:textId="77777777" w:rsidR="00031725" w:rsidRDefault="00000000">
            <w:pPr>
              <w:spacing w:after="0"/>
              <w:rPr>
                <w:sz w:val="18"/>
                <w:szCs w:val="18"/>
              </w:rPr>
            </w:pPr>
            <w:r>
              <w:rPr>
                <w:sz w:val="18"/>
                <w:szCs w:val="18"/>
              </w:rPr>
              <w:t xml:space="preserve">Metadata quality evaluation framework for assessing AI-generated record quality against curation standards; relevant to C15. </w:t>
            </w:r>
          </w:p>
        </w:tc>
      </w:tr>
      <w:tr w:rsidR="00031725" w14:paraId="0091E473" w14:textId="77777777">
        <w:trPr>
          <w:trHeight w:val="645"/>
        </w:trPr>
        <w:tc>
          <w:tcPr>
            <w:tcW w:w="285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36" w14:textId="77777777" w:rsidR="00031725" w:rsidRDefault="00031725">
            <w:pPr>
              <w:spacing w:after="0"/>
              <w:rPr>
                <w:color w:val="0563C1"/>
                <w:sz w:val="18"/>
                <w:szCs w:val="18"/>
                <w:u w:val="single"/>
              </w:rPr>
            </w:pPr>
            <w:hyperlink r:id="rId172">
              <w:r>
                <w:rPr>
                  <w:color w:val="0563C1"/>
                  <w:sz w:val="18"/>
                  <w:szCs w:val="18"/>
                  <w:u w:val="single"/>
                </w:rPr>
                <w:t>CESSDA FAIR benchmark</w:t>
              </w:r>
            </w:hyperlink>
          </w:p>
        </w:tc>
        <w:tc>
          <w:tcPr>
            <w:tcW w:w="616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37" w14:textId="77777777" w:rsidR="00031725" w:rsidRDefault="00000000">
            <w:pPr>
              <w:spacing w:after="0"/>
              <w:rPr>
                <w:sz w:val="18"/>
                <w:szCs w:val="18"/>
              </w:rPr>
            </w:pPr>
            <w:r>
              <w:rPr>
                <w:sz w:val="18"/>
                <w:szCs w:val="18"/>
              </w:rPr>
              <w:t xml:space="preserve">Example of a community-defined FAIR benchmark registered in FAIRsharing. </w:t>
            </w:r>
          </w:p>
        </w:tc>
      </w:tr>
      <w:tr w:rsidR="00031725" w14:paraId="77F5C63F" w14:textId="77777777">
        <w:trPr>
          <w:trHeight w:val="615"/>
        </w:trPr>
        <w:tc>
          <w:tcPr>
            <w:tcW w:w="2850"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38" w14:textId="77777777" w:rsidR="00031725" w:rsidRDefault="00031725">
            <w:pPr>
              <w:spacing w:after="0"/>
              <w:rPr>
                <w:color w:val="0563C1"/>
                <w:sz w:val="18"/>
                <w:szCs w:val="18"/>
                <w:u w:val="single"/>
              </w:rPr>
            </w:pPr>
            <w:hyperlink r:id="rId173">
              <w:r>
                <w:rPr>
                  <w:color w:val="0563C1"/>
                  <w:sz w:val="18"/>
                  <w:szCs w:val="18"/>
                  <w:u w:val="single"/>
                </w:rPr>
                <w:t>MOMSI FAIRsharing collection</w:t>
              </w:r>
            </w:hyperlink>
          </w:p>
        </w:tc>
        <w:tc>
          <w:tcPr>
            <w:tcW w:w="6165"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39" w14:textId="77777777" w:rsidR="00031725" w:rsidRDefault="00000000">
            <w:pPr>
              <w:spacing w:after="0"/>
              <w:rPr>
                <w:sz w:val="18"/>
                <w:szCs w:val="18"/>
              </w:rPr>
            </w:pPr>
            <w:r>
              <w:rPr>
                <w:sz w:val="18"/>
                <w:szCs w:val="18"/>
              </w:rPr>
              <w:t>Cross-domain benchmarking reference covering domain-specific and universal standards; confirmed useful for evaluating R3 and R4.</w:t>
            </w:r>
          </w:p>
        </w:tc>
      </w:tr>
      <w:tr w:rsidR="00031725" w14:paraId="2AC3611D" w14:textId="77777777">
        <w:trPr>
          <w:trHeight w:val="885"/>
        </w:trPr>
        <w:tc>
          <w:tcPr>
            <w:tcW w:w="285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3A" w14:textId="77777777" w:rsidR="00031725" w:rsidRDefault="00031725">
            <w:pPr>
              <w:spacing w:after="0"/>
              <w:rPr>
                <w:color w:val="0563C1"/>
                <w:sz w:val="18"/>
                <w:szCs w:val="18"/>
                <w:u w:val="single"/>
              </w:rPr>
            </w:pPr>
            <w:hyperlink r:id="rId174">
              <w:r>
                <w:rPr>
                  <w:color w:val="0563C1"/>
                  <w:sz w:val="18"/>
                  <w:szCs w:val="18"/>
                  <w:u w:val="single"/>
                </w:rPr>
                <w:t>Assess-IF framework (OSTrails)</w:t>
              </w:r>
            </w:hyperlink>
          </w:p>
        </w:tc>
        <w:tc>
          <w:tcPr>
            <w:tcW w:w="616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3B" w14:textId="77777777" w:rsidR="00031725" w:rsidRDefault="00000000">
            <w:pPr>
              <w:spacing w:after="0"/>
              <w:rPr>
                <w:sz w:val="18"/>
                <w:szCs w:val="18"/>
              </w:rPr>
            </w:pPr>
            <w:r>
              <w:rPr>
                <w:sz w:val="18"/>
                <w:szCs w:val="18"/>
              </w:rPr>
              <w:t xml:space="preserve">Framework for community-specific FAIR benchmark definition and longitudinal analysis; implements the open framework for FAIR evaluation scores (w3id.org/ftr#). </w:t>
            </w:r>
          </w:p>
        </w:tc>
      </w:tr>
      <w:tr w:rsidR="00031725" w14:paraId="24716F14" w14:textId="77777777">
        <w:trPr>
          <w:trHeight w:val="645"/>
        </w:trPr>
        <w:tc>
          <w:tcPr>
            <w:tcW w:w="2850"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3C" w14:textId="77777777" w:rsidR="00031725" w:rsidRDefault="00031725">
            <w:pPr>
              <w:spacing w:after="0"/>
              <w:rPr>
                <w:color w:val="0563C1"/>
                <w:sz w:val="18"/>
                <w:szCs w:val="18"/>
                <w:u w:val="single"/>
              </w:rPr>
            </w:pPr>
            <w:hyperlink r:id="rId175">
              <w:r>
                <w:rPr>
                  <w:color w:val="0563C1"/>
                  <w:sz w:val="18"/>
                  <w:szCs w:val="18"/>
                  <w:u w:val="single"/>
                </w:rPr>
                <w:t>FIPs (FAIR Implementation Profiles)</w:t>
              </w:r>
            </w:hyperlink>
          </w:p>
        </w:tc>
        <w:tc>
          <w:tcPr>
            <w:tcW w:w="6165"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3D" w14:textId="77777777" w:rsidR="00031725" w:rsidRDefault="00000000">
            <w:pPr>
              <w:spacing w:after="0"/>
              <w:rPr>
                <w:sz w:val="18"/>
                <w:szCs w:val="18"/>
              </w:rPr>
            </w:pPr>
            <w:r>
              <w:rPr>
                <w:sz w:val="18"/>
                <w:szCs w:val="18"/>
              </w:rPr>
              <w:t xml:space="preserve">Community-defined FAIR benchmarks registrable in FAIRsharing. </w:t>
            </w:r>
          </w:p>
        </w:tc>
      </w:tr>
    </w:tbl>
    <w:p w14:paraId="0000053E" w14:textId="77777777" w:rsidR="00031725" w:rsidRDefault="00031725">
      <w:pPr>
        <w:rPr>
          <w:b/>
          <w:bCs/>
        </w:rPr>
      </w:pPr>
    </w:p>
    <w:p w14:paraId="0000053F" w14:textId="77777777" w:rsidR="00031725" w:rsidRDefault="00000000">
      <w:pPr>
        <w:rPr>
          <w:b/>
          <w:bCs/>
        </w:rPr>
      </w:pPr>
      <w:r>
        <w:rPr>
          <w:b/>
          <w:bCs/>
        </w:rPr>
        <w:t>Metadata Standards, Schemas and Validation Tools</w:t>
      </w:r>
    </w:p>
    <w:tbl>
      <w:tblPr>
        <w:tblStyle w:val="af2"/>
        <w:tblW w:w="90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35"/>
        <w:gridCol w:w="6180"/>
      </w:tblGrid>
      <w:tr w:rsidR="00031725" w14:paraId="2EBF0811" w14:textId="77777777">
        <w:trPr>
          <w:trHeight w:val="405"/>
        </w:trPr>
        <w:tc>
          <w:tcPr>
            <w:tcW w:w="2835" w:type="dxa"/>
            <w:tcBorders>
              <w:top w:val="single" w:sz="5" w:space="0" w:color="005B52"/>
              <w:left w:val="single" w:sz="5" w:space="0" w:color="005B52"/>
              <w:bottom w:val="single" w:sz="5" w:space="0" w:color="005B52"/>
              <w:right w:val="single" w:sz="5" w:space="0" w:color="005B52"/>
            </w:tcBorders>
            <w:shd w:val="clear" w:color="auto" w:fill="0F6E56"/>
            <w:tcMar>
              <w:top w:w="80" w:type="dxa"/>
              <w:left w:w="120" w:type="dxa"/>
              <w:bottom w:w="80" w:type="dxa"/>
              <w:right w:w="120" w:type="dxa"/>
            </w:tcMar>
          </w:tcPr>
          <w:p w14:paraId="00000540" w14:textId="77777777" w:rsidR="00031725" w:rsidRDefault="00000000">
            <w:pPr>
              <w:spacing w:after="0"/>
              <w:rPr>
                <w:b/>
                <w:bCs/>
                <w:color w:val="FFFFFF"/>
                <w:sz w:val="18"/>
                <w:szCs w:val="18"/>
              </w:rPr>
            </w:pPr>
            <w:r>
              <w:rPr>
                <w:b/>
                <w:bCs/>
                <w:color w:val="FFFFFF"/>
                <w:sz w:val="18"/>
                <w:szCs w:val="18"/>
              </w:rPr>
              <w:t>Resource</w:t>
            </w:r>
          </w:p>
        </w:tc>
        <w:tc>
          <w:tcPr>
            <w:tcW w:w="6180" w:type="dxa"/>
            <w:tcBorders>
              <w:top w:val="single" w:sz="5" w:space="0" w:color="005B52"/>
              <w:left w:val="single" w:sz="5" w:space="0" w:color="005B52"/>
              <w:bottom w:val="single" w:sz="5" w:space="0" w:color="005B52"/>
              <w:right w:val="single" w:sz="5" w:space="0" w:color="005B52"/>
            </w:tcBorders>
            <w:shd w:val="clear" w:color="auto" w:fill="0F6E56"/>
            <w:tcMar>
              <w:top w:w="80" w:type="dxa"/>
              <w:left w:w="120" w:type="dxa"/>
              <w:bottom w:w="80" w:type="dxa"/>
              <w:right w:w="120" w:type="dxa"/>
            </w:tcMar>
          </w:tcPr>
          <w:p w14:paraId="00000541" w14:textId="77777777" w:rsidR="00031725" w:rsidRDefault="00000000">
            <w:pPr>
              <w:spacing w:after="0"/>
              <w:rPr>
                <w:b/>
                <w:bCs/>
                <w:color w:val="FFFFFF"/>
                <w:sz w:val="18"/>
                <w:szCs w:val="18"/>
              </w:rPr>
            </w:pPr>
            <w:r>
              <w:rPr>
                <w:b/>
                <w:bCs/>
                <w:color w:val="FFFFFF"/>
                <w:sz w:val="18"/>
                <w:szCs w:val="18"/>
              </w:rPr>
              <w:t>Description and source section</w:t>
            </w:r>
          </w:p>
        </w:tc>
      </w:tr>
      <w:tr w:rsidR="00031725" w14:paraId="71A537AF" w14:textId="77777777">
        <w:trPr>
          <w:trHeight w:val="645"/>
        </w:trPr>
        <w:tc>
          <w:tcPr>
            <w:tcW w:w="283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42" w14:textId="77777777" w:rsidR="00031725" w:rsidRDefault="00031725">
            <w:pPr>
              <w:spacing w:after="0"/>
              <w:rPr>
                <w:color w:val="0563C1"/>
                <w:sz w:val="18"/>
                <w:szCs w:val="18"/>
                <w:u w:val="single"/>
              </w:rPr>
            </w:pPr>
            <w:hyperlink r:id="rId176">
              <w:r>
                <w:rPr>
                  <w:color w:val="0563C1"/>
                  <w:sz w:val="18"/>
                  <w:szCs w:val="18"/>
                  <w:u w:val="single"/>
                </w:rPr>
                <w:t>RDA kernel metadata recommendations</w:t>
              </w:r>
            </w:hyperlink>
          </w:p>
        </w:tc>
        <w:tc>
          <w:tcPr>
            <w:tcW w:w="618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43" w14:textId="77777777" w:rsidR="00031725" w:rsidRDefault="00000000">
            <w:pPr>
              <w:spacing w:after="0"/>
              <w:rPr>
                <w:sz w:val="18"/>
                <w:szCs w:val="18"/>
              </w:rPr>
            </w:pPr>
            <w:r>
              <w:rPr>
                <w:sz w:val="18"/>
                <w:szCs w:val="18"/>
              </w:rPr>
              <w:t xml:space="preserve">Defines essential domain-agnostic metadata fields. </w:t>
            </w:r>
          </w:p>
        </w:tc>
      </w:tr>
      <w:tr w:rsidR="00031725" w14:paraId="6A5627A9" w14:textId="77777777">
        <w:trPr>
          <w:trHeight w:val="405"/>
        </w:trPr>
        <w:tc>
          <w:tcPr>
            <w:tcW w:w="2835"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44" w14:textId="77777777" w:rsidR="00031725" w:rsidRDefault="00031725">
            <w:pPr>
              <w:spacing w:after="0"/>
              <w:rPr>
                <w:color w:val="0563C1"/>
                <w:sz w:val="18"/>
                <w:szCs w:val="18"/>
                <w:u w:val="single"/>
              </w:rPr>
            </w:pPr>
            <w:hyperlink r:id="rId177">
              <w:r>
                <w:rPr>
                  <w:color w:val="0563C1"/>
                  <w:sz w:val="18"/>
                  <w:szCs w:val="18"/>
                  <w:u w:val="single"/>
                </w:rPr>
                <w:t>FAIR2 metadata specification</w:t>
              </w:r>
            </w:hyperlink>
          </w:p>
        </w:tc>
        <w:tc>
          <w:tcPr>
            <w:tcW w:w="6180"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45" w14:textId="77777777" w:rsidR="00031725" w:rsidRDefault="00000000">
            <w:pPr>
              <w:spacing w:after="0"/>
              <w:rPr>
                <w:sz w:val="18"/>
                <w:szCs w:val="18"/>
              </w:rPr>
            </w:pPr>
            <w:r>
              <w:rPr>
                <w:sz w:val="18"/>
                <w:szCs w:val="18"/>
              </w:rPr>
              <w:t xml:space="preserve">Community-driven metadata specification built on MLCommons Croissant. </w:t>
            </w:r>
          </w:p>
        </w:tc>
      </w:tr>
      <w:tr w:rsidR="00031725" w14:paraId="063C7E9A" w14:textId="77777777">
        <w:trPr>
          <w:trHeight w:val="420"/>
        </w:trPr>
        <w:tc>
          <w:tcPr>
            <w:tcW w:w="283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46" w14:textId="77777777" w:rsidR="00031725" w:rsidRDefault="00031725">
            <w:pPr>
              <w:spacing w:after="0"/>
              <w:rPr>
                <w:color w:val="0563C1"/>
                <w:sz w:val="18"/>
                <w:szCs w:val="18"/>
                <w:u w:val="single"/>
              </w:rPr>
            </w:pPr>
            <w:hyperlink r:id="rId178">
              <w:r>
                <w:rPr>
                  <w:color w:val="0563C1"/>
                  <w:sz w:val="18"/>
                  <w:szCs w:val="18"/>
                  <w:u w:val="single"/>
                </w:rPr>
                <w:t>Ontology Lookup Service (OLS)</w:t>
              </w:r>
            </w:hyperlink>
          </w:p>
        </w:tc>
        <w:tc>
          <w:tcPr>
            <w:tcW w:w="618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47" w14:textId="77777777" w:rsidR="00031725" w:rsidRDefault="00000000">
            <w:pPr>
              <w:spacing w:after="0"/>
              <w:rPr>
                <w:sz w:val="18"/>
                <w:szCs w:val="18"/>
              </w:rPr>
            </w:pPr>
            <w:r>
              <w:rPr>
                <w:sz w:val="18"/>
                <w:szCs w:val="18"/>
              </w:rPr>
              <w:t xml:space="preserve">Ontology repository providing controlled vocabularies across disciplines. </w:t>
            </w:r>
          </w:p>
        </w:tc>
      </w:tr>
      <w:tr w:rsidR="00031725" w14:paraId="59D18541" w14:textId="77777777">
        <w:trPr>
          <w:trHeight w:val="645"/>
        </w:trPr>
        <w:tc>
          <w:tcPr>
            <w:tcW w:w="2835"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48" w14:textId="77777777" w:rsidR="00031725" w:rsidRDefault="00031725">
            <w:pPr>
              <w:spacing w:after="0"/>
              <w:rPr>
                <w:color w:val="0563C1"/>
                <w:sz w:val="18"/>
                <w:szCs w:val="18"/>
                <w:u w:val="single"/>
              </w:rPr>
            </w:pPr>
            <w:hyperlink r:id="rId179">
              <w:r>
                <w:rPr>
                  <w:color w:val="0563C1"/>
                  <w:sz w:val="18"/>
                  <w:szCs w:val="18"/>
                  <w:u w:val="single"/>
                </w:rPr>
                <w:t>NFDI Terminology Service</w:t>
              </w:r>
            </w:hyperlink>
          </w:p>
        </w:tc>
        <w:tc>
          <w:tcPr>
            <w:tcW w:w="6180"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49" w14:textId="77777777" w:rsidR="00031725" w:rsidRDefault="00000000">
            <w:pPr>
              <w:spacing w:after="0"/>
              <w:rPr>
                <w:sz w:val="18"/>
                <w:szCs w:val="18"/>
              </w:rPr>
            </w:pPr>
            <w:r>
              <w:rPr>
                <w:sz w:val="18"/>
                <w:szCs w:val="18"/>
              </w:rPr>
              <w:t xml:space="preserve">Terminology service providing controlled vocabularies for research communities. </w:t>
            </w:r>
          </w:p>
        </w:tc>
      </w:tr>
      <w:tr w:rsidR="00031725" w14:paraId="55F1E800" w14:textId="77777777">
        <w:trPr>
          <w:trHeight w:val="420"/>
        </w:trPr>
        <w:tc>
          <w:tcPr>
            <w:tcW w:w="283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4A" w14:textId="77777777" w:rsidR="00031725" w:rsidRDefault="00031725">
            <w:pPr>
              <w:spacing w:after="0"/>
              <w:rPr>
                <w:color w:val="0563C1"/>
                <w:sz w:val="18"/>
                <w:szCs w:val="18"/>
                <w:u w:val="single"/>
              </w:rPr>
            </w:pPr>
            <w:hyperlink r:id="rId180">
              <w:r>
                <w:rPr>
                  <w:color w:val="0563C1"/>
                  <w:sz w:val="18"/>
                  <w:szCs w:val="18"/>
                  <w:u w:val="single"/>
                </w:rPr>
                <w:t>OntoPortal</w:t>
              </w:r>
            </w:hyperlink>
          </w:p>
        </w:tc>
        <w:tc>
          <w:tcPr>
            <w:tcW w:w="618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4B" w14:textId="77777777" w:rsidR="00031725" w:rsidRDefault="00000000">
            <w:pPr>
              <w:spacing w:after="0"/>
              <w:rPr>
                <w:sz w:val="18"/>
                <w:szCs w:val="18"/>
              </w:rPr>
            </w:pPr>
            <w:r>
              <w:rPr>
                <w:sz w:val="18"/>
                <w:szCs w:val="18"/>
              </w:rPr>
              <w:t xml:space="preserve">Domain-specific ontology repository platform. </w:t>
            </w:r>
          </w:p>
        </w:tc>
      </w:tr>
      <w:tr w:rsidR="00031725" w14:paraId="3C5E3C97" w14:textId="77777777">
        <w:trPr>
          <w:trHeight w:val="420"/>
        </w:trPr>
        <w:tc>
          <w:tcPr>
            <w:tcW w:w="2835"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4C" w14:textId="77777777" w:rsidR="00031725" w:rsidRDefault="00031725">
            <w:pPr>
              <w:spacing w:after="0"/>
              <w:rPr>
                <w:color w:val="0563C1"/>
                <w:sz w:val="18"/>
                <w:szCs w:val="18"/>
                <w:u w:val="single"/>
              </w:rPr>
            </w:pPr>
            <w:hyperlink r:id="rId181">
              <w:r>
                <w:rPr>
                  <w:color w:val="0563C1"/>
                  <w:sz w:val="18"/>
                  <w:szCs w:val="18"/>
                  <w:u w:val="single"/>
                </w:rPr>
                <w:t>BioPortal</w:t>
              </w:r>
            </w:hyperlink>
          </w:p>
        </w:tc>
        <w:tc>
          <w:tcPr>
            <w:tcW w:w="6180"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4D" w14:textId="77777777" w:rsidR="00031725" w:rsidRDefault="00000000">
            <w:pPr>
              <w:spacing w:after="0"/>
              <w:rPr>
                <w:sz w:val="18"/>
                <w:szCs w:val="18"/>
              </w:rPr>
            </w:pPr>
            <w:r>
              <w:rPr>
                <w:sz w:val="18"/>
                <w:szCs w:val="18"/>
              </w:rPr>
              <w:t xml:space="preserve">Domain-specific ontology repository (biomedical). </w:t>
            </w:r>
          </w:p>
        </w:tc>
      </w:tr>
      <w:tr w:rsidR="00031725" w14:paraId="0647389D" w14:textId="77777777">
        <w:trPr>
          <w:trHeight w:val="420"/>
        </w:trPr>
        <w:tc>
          <w:tcPr>
            <w:tcW w:w="283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4E" w14:textId="77777777" w:rsidR="00031725" w:rsidRDefault="00031725">
            <w:pPr>
              <w:spacing w:after="0"/>
              <w:rPr>
                <w:color w:val="0563C1"/>
                <w:sz w:val="18"/>
                <w:szCs w:val="18"/>
                <w:u w:val="single"/>
              </w:rPr>
            </w:pPr>
            <w:hyperlink r:id="rId182">
              <w:r>
                <w:rPr>
                  <w:color w:val="0563C1"/>
                  <w:sz w:val="18"/>
                  <w:szCs w:val="18"/>
                  <w:u w:val="single"/>
                </w:rPr>
                <w:t>AgroPortal</w:t>
              </w:r>
            </w:hyperlink>
          </w:p>
        </w:tc>
        <w:tc>
          <w:tcPr>
            <w:tcW w:w="618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4F" w14:textId="77777777" w:rsidR="00031725" w:rsidRDefault="00000000">
            <w:pPr>
              <w:spacing w:after="0"/>
              <w:rPr>
                <w:sz w:val="18"/>
                <w:szCs w:val="18"/>
              </w:rPr>
            </w:pPr>
            <w:r>
              <w:rPr>
                <w:sz w:val="18"/>
                <w:szCs w:val="18"/>
              </w:rPr>
              <w:t xml:space="preserve">Domain-specific ontology repository (agronomy). </w:t>
            </w:r>
          </w:p>
        </w:tc>
      </w:tr>
      <w:tr w:rsidR="00031725" w14:paraId="755384A5" w14:textId="77777777">
        <w:trPr>
          <w:trHeight w:val="420"/>
        </w:trPr>
        <w:tc>
          <w:tcPr>
            <w:tcW w:w="2835"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50" w14:textId="77777777" w:rsidR="00031725" w:rsidRDefault="00031725">
            <w:pPr>
              <w:spacing w:after="0"/>
              <w:rPr>
                <w:color w:val="0563C1"/>
                <w:sz w:val="18"/>
                <w:szCs w:val="18"/>
                <w:u w:val="single"/>
              </w:rPr>
            </w:pPr>
            <w:hyperlink r:id="rId183">
              <w:r>
                <w:rPr>
                  <w:color w:val="0563C1"/>
                  <w:sz w:val="18"/>
                  <w:szCs w:val="18"/>
                  <w:u w:val="single"/>
                </w:rPr>
                <w:t>RO-Crate validator</w:t>
              </w:r>
            </w:hyperlink>
          </w:p>
        </w:tc>
        <w:tc>
          <w:tcPr>
            <w:tcW w:w="6180"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51" w14:textId="77777777" w:rsidR="00031725" w:rsidRDefault="00000000">
            <w:pPr>
              <w:spacing w:after="0"/>
              <w:rPr>
                <w:sz w:val="18"/>
                <w:szCs w:val="18"/>
              </w:rPr>
            </w:pPr>
            <w:r>
              <w:rPr>
                <w:sz w:val="18"/>
                <w:szCs w:val="18"/>
              </w:rPr>
              <w:t xml:space="preserve">Schema validation tool for metadata quality checks. </w:t>
            </w:r>
          </w:p>
        </w:tc>
      </w:tr>
      <w:tr w:rsidR="00031725" w14:paraId="2014B530" w14:textId="77777777">
        <w:trPr>
          <w:trHeight w:val="405"/>
        </w:trPr>
        <w:tc>
          <w:tcPr>
            <w:tcW w:w="283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52" w14:textId="77777777" w:rsidR="00031725" w:rsidRDefault="00031725">
            <w:pPr>
              <w:spacing w:after="0"/>
              <w:rPr>
                <w:color w:val="0563C1"/>
                <w:sz w:val="18"/>
                <w:szCs w:val="18"/>
                <w:u w:val="single"/>
              </w:rPr>
            </w:pPr>
            <w:hyperlink r:id="rId184">
              <w:r>
                <w:rPr>
                  <w:color w:val="0563C1"/>
                  <w:sz w:val="18"/>
                  <w:szCs w:val="18"/>
                  <w:u w:val="single"/>
                </w:rPr>
                <w:t>Frictionless Data</w:t>
              </w:r>
            </w:hyperlink>
          </w:p>
        </w:tc>
        <w:tc>
          <w:tcPr>
            <w:tcW w:w="618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53" w14:textId="77777777" w:rsidR="00031725" w:rsidRDefault="00000000">
            <w:pPr>
              <w:spacing w:after="0"/>
              <w:rPr>
                <w:sz w:val="18"/>
                <w:szCs w:val="18"/>
              </w:rPr>
            </w:pPr>
            <w:r>
              <w:rPr>
                <w:sz w:val="18"/>
                <w:szCs w:val="18"/>
              </w:rPr>
              <w:t xml:space="preserve">Schema validation tool for metadata quality checks. </w:t>
            </w:r>
          </w:p>
        </w:tc>
      </w:tr>
      <w:tr w:rsidR="00031725" w14:paraId="5577C708" w14:textId="77777777">
        <w:trPr>
          <w:trHeight w:val="390"/>
        </w:trPr>
        <w:tc>
          <w:tcPr>
            <w:tcW w:w="2835"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54" w14:textId="77777777" w:rsidR="00031725" w:rsidRDefault="00031725">
            <w:pPr>
              <w:spacing w:after="0"/>
              <w:rPr>
                <w:color w:val="0563C1"/>
                <w:sz w:val="18"/>
                <w:szCs w:val="18"/>
                <w:u w:val="single"/>
              </w:rPr>
            </w:pPr>
            <w:hyperlink r:id="rId185">
              <w:r>
                <w:rPr>
                  <w:color w:val="0563C1"/>
                  <w:sz w:val="18"/>
                  <w:szCs w:val="18"/>
                  <w:u w:val="single"/>
                </w:rPr>
                <w:t>JSON Schema</w:t>
              </w:r>
            </w:hyperlink>
          </w:p>
        </w:tc>
        <w:tc>
          <w:tcPr>
            <w:tcW w:w="6180"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55" w14:textId="77777777" w:rsidR="00031725" w:rsidRDefault="00000000">
            <w:pPr>
              <w:spacing w:after="0"/>
              <w:rPr>
                <w:sz w:val="18"/>
                <w:szCs w:val="18"/>
              </w:rPr>
            </w:pPr>
            <w:r>
              <w:rPr>
                <w:sz w:val="18"/>
                <w:szCs w:val="18"/>
              </w:rPr>
              <w:t xml:space="preserve">Schema validation standard applicable to metadata validation. </w:t>
            </w:r>
          </w:p>
        </w:tc>
      </w:tr>
      <w:tr w:rsidR="00031725" w14:paraId="6F1B5A84" w14:textId="77777777">
        <w:trPr>
          <w:trHeight w:val="375"/>
        </w:trPr>
        <w:tc>
          <w:tcPr>
            <w:tcW w:w="283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56" w14:textId="77777777" w:rsidR="00031725" w:rsidRDefault="00031725">
            <w:pPr>
              <w:spacing w:after="0"/>
              <w:rPr>
                <w:color w:val="0563C1"/>
                <w:sz w:val="18"/>
                <w:szCs w:val="18"/>
                <w:u w:val="single"/>
              </w:rPr>
            </w:pPr>
            <w:hyperlink r:id="rId186">
              <w:r>
                <w:rPr>
                  <w:color w:val="0563C1"/>
                  <w:sz w:val="18"/>
                  <w:szCs w:val="18"/>
                  <w:u w:val="single"/>
                </w:rPr>
                <w:t>XSD (XML Schema Definition)</w:t>
              </w:r>
            </w:hyperlink>
          </w:p>
        </w:tc>
        <w:tc>
          <w:tcPr>
            <w:tcW w:w="618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57" w14:textId="77777777" w:rsidR="00031725" w:rsidRDefault="00000000">
            <w:pPr>
              <w:spacing w:after="0"/>
              <w:rPr>
                <w:sz w:val="18"/>
                <w:szCs w:val="18"/>
              </w:rPr>
            </w:pPr>
            <w:r>
              <w:rPr>
                <w:sz w:val="18"/>
                <w:szCs w:val="18"/>
              </w:rPr>
              <w:t>XML schema validation reference.</w:t>
            </w:r>
          </w:p>
        </w:tc>
      </w:tr>
      <w:tr w:rsidR="00031725" w14:paraId="076C6747" w14:textId="77777777">
        <w:trPr>
          <w:trHeight w:val="645"/>
        </w:trPr>
        <w:tc>
          <w:tcPr>
            <w:tcW w:w="2835"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58" w14:textId="77777777" w:rsidR="00031725" w:rsidRDefault="00031725">
            <w:pPr>
              <w:spacing w:after="0"/>
              <w:rPr>
                <w:color w:val="0563C1"/>
                <w:sz w:val="18"/>
                <w:szCs w:val="18"/>
                <w:u w:val="single"/>
              </w:rPr>
            </w:pPr>
            <w:hyperlink r:id="rId187">
              <w:r>
                <w:rPr>
                  <w:color w:val="0563C1"/>
                  <w:sz w:val="18"/>
                  <w:szCs w:val="18"/>
                  <w:u w:val="single"/>
                </w:rPr>
                <w:t>SHACL (Shapes Constraint Language)</w:t>
              </w:r>
            </w:hyperlink>
          </w:p>
        </w:tc>
        <w:tc>
          <w:tcPr>
            <w:tcW w:w="6180"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59" w14:textId="77777777" w:rsidR="00031725" w:rsidRDefault="00000000">
            <w:pPr>
              <w:spacing w:after="0"/>
              <w:rPr>
                <w:sz w:val="18"/>
                <w:szCs w:val="18"/>
              </w:rPr>
            </w:pPr>
            <w:r>
              <w:rPr>
                <w:sz w:val="18"/>
                <w:szCs w:val="18"/>
              </w:rPr>
              <w:t xml:space="preserve">Schema validation tool for metadata quality checks. </w:t>
            </w:r>
          </w:p>
        </w:tc>
      </w:tr>
      <w:tr w:rsidR="00031725" w14:paraId="64C2C2DE" w14:textId="77777777">
        <w:trPr>
          <w:trHeight w:val="855"/>
        </w:trPr>
        <w:tc>
          <w:tcPr>
            <w:tcW w:w="283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5A" w14:textId="77777777" w:rsidR="00031725" w:rsidRDefault="00031725">
            <w:pPr>
              <w:spacing w:after="0"/>
              <w:rPr>
                <w:color w:val="0563C1"/>
                <w:sz w:val="18"/>
                <w:szCs w:val="18"/>
                <w:u w:val="single"/>
              </w:rPr>
            </w:pPr>
            <w:hyperlink r:id="rId188">
              <w:r>
                <w:rPr>
                  <w:color w:val="0563C1"/>
                  <w:sz w:val="18"/>
                  <w:szCs w:val="18"/>
                  <w:u w:val="single"/>
                </w:rPr>
                <w:t>Croissant Validator / Croissant ML</w:t>
              </w:r>
            </w:hyperlink>
          </w:p>
        </w:tc>
        <w:tc>
          <w:tcPr>
            <w:tcW w:w="618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5B" w14:textId="77777777" w:rsidR="00031725" w:rsidRDefault="00000000">
            <w:pPr>
              <w:spacing w:after="0"/>
              <w:rPr>
                <w:sz w:val="18"/>
                <w:szCs w:val="18"/>
              </w:rPr>
            </w:pPr>
            <w:r>
              <w:rPr>
                <w:sz w:val="18"/>
                <w:szCs w:val="18"/>
              </w:rPr>
              <w:t xml:space="preserve">Mature, generic metadata format and validator with an active community; proposed as a pilot format, supported by Croissant Baker and Croissant Miner. </w:t>
            </w:r>
          </w:p>
        </w:tc>
      </w:tr>
      <w:tr w:rsidR="00031725" w14:paraId="1EBAA1B5" w14:textId="77777777">
        <w:trPr>
          <w:trHeight w:val="390"/>
        </w:trPr>
        <w:tc>
          <w:tcPr>
            <w:tcW w:w="2835"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5C" w14:textId="77777777" w:rsidR="00031725" w:rsidRDefault="00031725">
            <w:pPr>
              <w:spacing w:after="0"/>
              <w:rPr>
                <w:color w:val="0563C1"/>
                <w:sz w:val="18"/>
                <w:szCs w:val="18"/>
                <w:u w:val="single"/>
              </w:rPr>
            </w:pPr>
            <w:hyperlink r:id="rId189">
              <w:r>
                <w:rPr>
                  <w:color w:val="0563C1"/>
                  <w:sz w:val="18"/>
                  <w:szCs w:val="18"/>
                  <w:u w:val="single"/>
                </w:rPr>
                <w:t>CEDAR Workbench</w:t>
              </w:r>
            </w:hyperlink>
          </w:p>
        </w:tc>
        <w:tc>
          <w:tcPr>
            <w:tcW w:w="6180"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5D" w14:textId="77777777" w:rsidR="00031725" w:rsidRDefault="00000000">
            <w:pPr>
              <w:spacing w:after="0"/>
              <w:rPr>
                <w:sz w:val="18"/>
                <w:szCs w:val="18"/>
              </w:rPr>
            </w:pPr>
            <w:r>
              <w:rPr>
                <w:sz w:val="18"/>
                <w:szCs w:val="18"/>
              </w:rPr>
              <w:t xml:space="preserve">Metadata creation and validation tool. </w:t>
            </w:r>
          </w:p>
        </w:tc>
      </w:tr>
      <w:tr w:rsidR="00031725" w14:paraId="78DA552C" w14:textId="77777777">
        <w:trPr>
          <w:trHeight w:val="405"/>
        </w:trPr>
        <w:tc>
          <w:tcPr>
            <w:tcW w:w="283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5E" w14:textId="77777777" w:rsidR="00031725" w:rsidRDefault="00031725">
            <w:pPr>
              <w:spacing w:after="0"/>
              <w:rPr>
                <w:color w:val="0563C1"/>
                <w:sz w:val="18"/>
                <w:szCs w:val="18"/>
                <w:u w:val="single"/>
              </w:rPr>
            </w:pPr>
            <w:hyperlink r:id="rId190">
              <w:r>
                <w:rPr>
                  <w:color w:val="0563C1"/>
                  <w:sz w:val="18"/>
                  <w:szCs w:val="18"/>
                  <w:u w:val="single"/>
                </w:rPr>
                <w:t>Skosmos</w:t>
              </w:r>
            </w:hyperlink>
          </w:p>
        </w:tc>
        <w:tc>
          <w:tcPr>
            <w:tcW w:w="618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5F" w14:textId="77777777" w:rsidR="00031725" w:rsidRDefault="00000000">
            <w:pPr>
              <w:spacing w:after="0"/>
              <w:rPr>
                <w:sz w:val="18"/>
                <w:szCs w:val="18"/>
              </w:rPr>
            </w:pPr>
            <w:r>
              <w:rPr>
                <w:sz w:val="18"/>
                <w:szCs w:val="18"/>
              </w:rPr>
              <w:t xml:space="preserve">Vocabulary publishing and validation tool. </w:t>
            </w:r>
          </w:p>
        </w:tc>
      </w:tr>
      <w:tr w:rsidR="00031725" w14:paraId="6B027091" w14:textId="77777777">
        <w:trPr>
          <w:trHeight w:val="405"/>
        </w:trPr>
        <w:tc>
          <w:tcPr>
            <w:tcW w:w="2835"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60" w14:textId="77777777" w:rsidR="00031725" w:rsidRDefault="00031725">
            <w:pPr>
              <w:spacing w:after="0"/>
              <w:rPr>
                <w:color w:val="0563C1"/>
                <w:sz w:val="18"/>
                <w:szCs w:val="18"/>
                <w:u w:val="single"/>
              </w:rPr>
            </w:pPr>
            <w:hyperlink r:id="rId191">
              <w:r>
                <w:rPr>
                  <w:color w:val="0563C1"/>
                  <w:sz w:val="18"/>
                  <w:szCs w:val="18"/>
                  <w:u w:val="single"/>
                </w:rPr>
                <w:t>FOOPS!</w:t>
              </w:r>
            </w:hyperlink>
          </w:p>
        </w:tc>
        <w:tc>
          <w:tcPr>
            <w:tcW w:w="6180"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61" w14:textId="77777777" w:rsidR="00031725" w:rsidRDefault="00000000">
            <w:pPr>
              <w:spacing w:after="0"/>
              <w:rPr>
                <w:sz w:val="18"/>
                <w:szCs w:val="18"/>
              </w:rPr>
            </w:pPr>
            <w:r>
              <w:rPr>
                <w:sz w:val="18"/>
                <w:szCs w:val="18"/>
              </w:rPr>
              <w:t xml:space="preserve">Ontology pitfall scanner for vocabulary validation. </w:t>
            </w:r>
          </w:p>
        </w:tc>
      </w:tr>
      <w:tr w:rsidR="00031725" w14:paraId="57A566FB" w14:textId="77777777">
        <w:trPr>
          <w:trHeight w:val="645"/>
        </w:trPr>
        <w:tc>
          <w:tcPr>
            <w:tcW w:w="283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62" w14:textId="77777777" w:rsidR="00031725" w:rsidRDefault="00031725">
            <w:pPr>
              <w:spacing w:after="0"/>
              <w:rPr>
                <w:color w:val="0563C1"/>
                <w:sz w:val="18"/>
                <w:szCs w:val="18"/>
                <w:u w:val="single"/>
              </w:rPr>
            </w:pPr>
            <w:hyperlink r:id="rId192">
              <w:r>
                <w:rPr>
                  <w:color w:val="0563C1"/>
                  <w:sz w:val="18"/>
                  <w:szCs w:val="18"/>
                  <w:u w:val="single"/>
                </w:rPr>
                <w:t>PROV-O</w:t>
              </w:r>
            </w:hyperlink>
          </w:p>
        </w:tc>
        <w:tc>
          <w:tcPr>
            <w:tcW w:w="618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63" w14:textId="77777777" w:rsidR="00031725" w:rsidRDefault="00000000">
            <w:pPr>
              <w:spacing w:after="0"/>
              <w:rPr>
                <w:sz w:val="18"/>
                <w:szCs w:val="18"/>
              </w:rPr>
            </w:pPr>
            <w:r>
              <w:rPr>
                <w:sz w:val="18"/>
                <w:szCs w:val="18"/>
              </w:rPr>
              <w:t xml:space="preserve">Candidate standard for provenance recording with archiving option, identified for tracking AI agent actions and Full Traceability. </w:t>
            </w:r>
          </w:p>
        </w:tc>
      </w:tr>
      <w:tr w:rsidR="00031725" w14:paraId="7F6C9235" w14:textId="77777777">
        <w:trPr>
          <w:trHeight w:val="645"/>
        </w:trPr>
        <w:tc>
          <w:tcPr>
            <w:tcW w:w="2835"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64" w14:textId="77777777" w:rsidR="00031725" w:rsidRDefault="00031725">
            <w:pPr>
              <w:spacing w:after="0"/>
              <w:rPr>
                <w:color w:val="0563C1"/>
                <w:sz w:val="18"/>
                <w:szCs w:val="18"/>
                <w:u w:val="single"/>
              </w:rPr>
            </w:pPr>
            <w:hyperlink r:id="rId193">
              <w:r>
                <w:rPr>
                  <w:color w:val="0563C1"/>
                  <w:sz w:val="18"/>
                  <w:szCs w:val="18"/>
                  <w:u w:val="single"/>
                </w:rPr>
                <w:t>eScience 2025 provenance paper</w:t>
              </w:r>
            </w:hyperlink>
          </w:p>
        </w:tc>
        <w:tc>
          <w:tcPr>
            <w:tcW w:w="6180"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65" w14:textId="77777777" w:rsidR="00031725" w:rsidRDefault="00000000">
            <w:pPr>
              <w:spacing w:after="0"/>
              <w:rPr>
                <w:sz w:val="18"/>
                <w:szCs w:val="18"/>
              </w:rPr>
            </w:pPr>
            <w:r>
              <w:rPr>
                <w:sz w:val="18"/>
                <w:szCs w:val="18"/>
              </w:rPr>
              <w:t xml:space="preserve">Community reference for PROV-O implementation in agentic AI research workflows. </w:t>
            </w:r>
          </w:p>
        </w:tc>
      </w:tr>
      <w:tr w:rsidR="00031725" w14:paraId="0331F218" w14:textId="77777777">
        <w:trPr>
          <w:trHeight w:val="885"/>
        </w:trPr>
        <w:tc>
          <w:tcPr>
            <w:tcW w:w="283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66" w14:textId="77777777" w:rsidR="00031725" w:rsidRDefault="00031725">
            <w:pPr>
              <w:spacing w:after="0"/>
              <w:rPr>
                <w:color w:val="0563C1"/>
                <w:sz w:val="18"/>
                <w:szCs w:val="18"/>
                <w:u w:val="single"/>
              </w:rPr>
            </w:pPr>
            <w:hyperlink r:id="rId194">
              <w:r>
                <w:rPr>
                  <w:color w:val="0563C1"/>
                  <w:sz w:val="18"/>
                  <w:szCs w:val="18"/>
                  <w:u w:val="single"/>
                </w:rPr>
                <w:t>ODRL (Open Digital Rights Language)</w:t>
              </w:r>
            </w:hyperlink>
          </w:p>
        </w:tc>
        <w:tc>
          <w:tcPr>
            <w:tcW w:w="618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67" w14:textId="77777777" w:rsidR="00031725" w:rsidRDefault="00000000">
            <w:pPr>
              <w:spacing w:after="0"/>
              <w:rPr>
                <w:sz w:val="18"/>
                <w:szCs w:val="18"/>
              </w:rPr>
            </w:pPr>
            <w:r>
              <w:rPr>
                <w:sz w:val="18"/>
                <w:szCs w:val="18"/>
              </w:rPr>
              <w:t xml:space="preserve">Policy expression language referenced for machine-readable governance policies; proposed as a FAIR object with identifiers. Demo: </w:t>
            </w:r>
            <w:hyperlink r:id="rId195">
              <w:r w:rsidR="00031725">
                <w:rPr>
                  <w:color w:val="1155CC"/>
                  <w:sz w:val="18"/>
                  <w:szCs w:val="18"/>
                  <w:u w:val="single"/>
                </w:rPr>
                <w:t>odrl.dev.codata.org/demo</w:t>
              </w:r>
            </w:hyperlink>
            <w:r>
              <w:rPr>
                <w:sz w:val="18"/>
                <w:szCs w:val="18"/>
              </w:rPr>
              <w:t xml:space="preserve">.   </w:t>
            </w:r>
          </w:p>
        </w:tc>
      </w:tr>
      <w:tr w:rsidR="00031725" w14:paraId="2E213958" w14:textId="77777777">
        <w:trPr>
          <w:trHeight w:val="885"/>
        </w:trPr>
        <w:tc>
          <w:tcPr>
            <w:tcW w:w="2835"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68" w14:textId="77777777" w:rsidR="00031725" w:rsidRDefault="00031725">
            <w:pPr>
              <w:spacing w:after="0"/>
              <w:rPr>
                <w:color w:val="0563C1"/>
                <w:sz w:val="18"/>
                <w:szCs w:val="18"/>
                <w:u w:val="single"/>
              </w:rPr>
            </w:pPr>
            <w:hyperlink r:id="rId196">
              <w:r>
                <w:rPr>
                  <w:color w:val="0563C1"/>
                  <w:sz w:val="18"/>
                  <w:szCs w:val="18"/>
                  <w:u w:val="single"/>
                </w:rPr>
                <w:t>FAIR Digital Object (FDO) framework</w:t>
              </w:r>
            </w:hyperlink>
          </w:p>
        </w:tc>
        <w:tc>
          <w:tcPr>
            <w:tcW w:w="6180"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69" w14:textId="77777777" w:rsidR="00031725" w:rsidRDefault="00000000">
            <w:pPr>
              <w:spacing w:after="0"/>
              <w:rPr>
                <w:sz w:val="18"/>
                <w:szCs w:val="18"/>
              </w:rPr>
            </w:pPr>
            <w:r>
              <w:rPr>
                <w:sz w:val="18"/>
                <w:szCs w:val="18"/>
              </w:rPr>
              <w:t>Supports interoperability through typed, validated objects, enabling metadata at domain-agnostic, domain-specific and application-specific levels simultaneously.</w:t>
            </w:r>
          </w:p>
        </w:tc>
      </w:tr>
      <w:tr w:rsidR="00031725" w14:paraId="4BA1A868" w14:textId="77777777">
        <w:trPr>
          <w:trHeight w:val="660"/>
        </w:trPr>
        <w:tc>
          <w:tcPr>
            <w:tcW w:w="283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6A" w14:textId="77777777" w:rsidR="00031725" w:rsidRDefault="00031725">
            <w:pPr>
              <w:spacing w:after="0"/>
              <w:rPr>
                <w:color w:val="0563C1"/>
                <w:sz w:val="18"/>
                <w:szCs w:val="18"/>
                <w:u w:val="single"/>
              </w:rPr>
            </w:pPr>
            <w:hyperlink r:id="rId197">
              <w:r>
                <w:rPr>
                  <w:color w:val="0563C1"/>
                  <w:sz w:val="18"/>
                  <w:szCs w:val="18"/>
                  <w:u w:val="single"/>
                </w:rPr>
                <w:t>Cross-Domain Interoperability Framework (CDIF)</w:t>
              </w:r>
            </w:hyperlink>
          </w:p>
        </w:tc>
        <w:tc>
          <w:tcPr>
            <w:tcW w:w="618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6B" w14:textId="77777777" w:rsidR="00031725" w:rsidRDefault="00000000">
            <w:pPr>
              <w:spacing w:after="0"/>
              <w:rPr>
                <w:sz w:val="18"/>
                <w:szCs w:val="18"/>
              </w:rPr>
            </w:pPr>
            <w:r>
              <w:rPr>
                <w:sz w:val="18"/>
                <w:szCs w:val="18"/>
              </w:rPr>
              <w:t>Supports cross-domain metadata mapping; relevant to interoperability requirements.</w:t>
            </w:r>
          </w:p>
        </w:tc>
      </w:tr>
    </w:tbl>
    <w:p w14:paraId="0000056C" w14:textId="77777777" w:rsidR="00031725" w:rsidRDefault="00000000">
      <w:pPr>
        <w:spacing w:before="200" w:after="80"/>
        <w:rPr>
          <w:b/>
          <w:bCs/>
        </w:rPr>
      </w:pPr>
      <w:r>
        <w:rPr>
          <w:b/>
          <w:bCs/>
        </w:rPr>
        <w:t>Data Management Plan (DMP) Tools</w:t>
      </w:r>
    </w:p>
    <w:tbl>
      <w:tblPr>
        <w:tblStyle w:val="af3"/>
        <w:tblW w:w="90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20"/>
        <w:gridCol w:w="6195"/>
      </w:tblGrid>
      <w:tr w:rsidR="00031725" w14:paraId="13C67A8C" w14:textId="77777777">
        <w:trPr>
          <w:trHeight w:val="405"/>
        </w:trPr>
        <w:tc>
          <w:tcPr>
            <w:tcW w:w="2820" w:type="dxa"/>
            <w:tcBorders>
              <w:top w:val="single" w:sz="5" w:space="0" w:color="005B52"/>
              <w:left w:val="single" w:sz="5" w:space="0" w:color="005B52"/>
              <w:bottom w:val="single" w:sz="5" w:space="0" w:color="005B52"/>
              <w:right w:val="single" w:sz="5" w:space="0" w:color="005B52"/>
            </w:tcBorders>
            <w:shd w:val="clear" w:color="auto" w:fill="0F6E56"/>
            <w:tcMar>
              <w:top w:w="80" w:type="dxa"/>
              <w:left w:w="120" w:type="dxa"/>
              <w:bottom w:w="80" w:type="dxa"/>
              <w:right w:w="120" w:type="dxa"/>
            </w:tcMar>
          </w:tcPr>
          <w:p w14:paraId="0000056D" w14:textId="77777777" w:rsidR="00031725" w:rsidRDefault="00000000">
            <w:pPr>
              <w:spacing w:after="0"/>
              <w:rPr>
                <w:b/>
                <w:bCs/>
                <w:color w:val="FFFFFF"/>
                <w:sz w:val="18"/>
                <w:szCs w:val="18"/>
              </w:rPr>
            </w:pPr>
            <w:r>
              <w:rPr>
                <w:b/>
                <w:bCs/>
                <w:color w:val="FFFFFF"/>
                <w:sz w:val="18"/>
                <w:szCs w:val="18"/>
              </w:rPr>
              <w:t>Resource</w:t>
            </w:r>
          </w:p>
        </w:tc>
        <w:tc>
          <w:tcPr>
            <w:tcW w:w="6195" w:type="dxa"/>
            <w:tcBorders>
              <w:top w:val="single" w:sz="5" w:space="0" w:color="005B52"/>
              <w:left w:val="single" w:sz="5" w:space="0" w:color="005B52"/>
              <w:bottom w:val="single" w:sz="5" w:space="0" w:color="005B52"/>
              <w:right w:val="single" w:sz="5" w:space="0" w:color="005B52"/>
            </w:tcBorders>
            <w:shd w:val="clear" w:color="auto" w:fill="0F6E56"/>
            <w:tcMar>
              <w:top w:w="80" w:type="dxa"/>
              <w:left w:w="120" w:type="dxa"/>
              <w:bottom w:w="80" w:type="dxa"/>
              <w:right w:w="120" w:type="dxa"/>
            </w:tcMar>
          </w:tcPr>
          <w:p w14:paraId="0000056E" w14:textId="77777777" w:rsidR="00031725" w:rsidRDefault="00000000">
            <w:pPr>
              <w:spacing w:after="0"/>
              <w:rPr>
                <w:b/>
                <w:bCs/>
                <w:color w:val="FFFFFF"/>
                <w:sz w:val="18"/>
                <w:szCs w:val="18"/>
              </w:rPr>
            </w:pPr>
            <w:r>
              <w:rPr>
                <w:b/>
                <w:bCs/>
                <w:color w:val="FFFFFF"/>
                <w:sz w:val="18"/>
                <w:szCs w:val="18"/>
              </w:rPr>
              <w:t>Description and source section</w:t>
            </w:r>
          </w:p>
        </w:tc>
      </w:tr>
      <w:tr w:rsidR="00031725" w14:paraId="4057FB64" w14:textId="77777777">
        <w:trPr>
          <w:trHeight w:val="630"/>
        </w:trPr>
        <w:tc>
          <w:tcPr>
            <w:tcW w:w="282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6F" w14:textId="77777777" w:rsidR="00031725" w:rsidRDefault="00031725">
            <w:pPr>
              <w:spacing w:after="0"/>
              <w:rPr>
                <w:color w:val="0563C1"/>
                <w:sz w:val="18"/>
                <w:szCs w:val="18"/>
                <w:u w:val="single"/>
              </w:rPr>
            </w:pPr>
            <w:hyperlink r:id="rId198">
              <w:r>
                <w:rPr>
                  <w:color w:val="0563C1"/>
                  <w:sz w:val="18"/>
                  <w:szCs w:val="18"/>
                  <w:u w:val="single"/>
                </w:rPr>
                <w:t>Data Stewardship Wizard (DSW)</w:t>
              </w:r>
            </w:hyperlink>
          </w:p>
        </w:tc>
        <w:tc>
          <w:tcPr>
            <w:tcW w:w="619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70" w14:textId="77777777" w:rsidR="00031725" w:rsidRDefault="00000000">
            <w:pPr>
              <w:spacing w:after="0"/>
              <w:rPr>
                <w:sz w:val="18"/>
                <w:szCs w:val="18"/>
              </w:rPr>
            </w:pPr>
            <w:r>
              <w:rPr>
                <w:sz w:val="18"/>
                <w:szCs w:val="18"/>
              </w:rPr>
              <w:t xml:space="preserve">Exposes DMP commitments in a computationally amenable form; confirmed compatible with the Data Director. </w:t>
            </w:r>
          </w:p>
        </w:tc>
      </w:tr>
      <w:tr w:rsidR="00031725" w14:paraId="0A53FD74" w14:textId="77777777">
        <w:trPr>
          <w:trHeight w:val="645"/>
        </w:trPr>
        <w:tc>
          <w:tcPr>
            <w:tcW w:w="2820"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71" w14:textId="77777777" w:rsidR="00031725" w:rsidRDefault="00031725">
            <w:pPr>
              <w:spacing w:after="0"/>
              <w:rPr>
                <w:color w:val="0563C1"/>
                <w:sz w:val="18"/>
                <w:szCs w:val="18"/>
                <w:u w:val="single"/>
              </w:rPr>
            </w:pPr>
            <w:hyperlink r:id="rId199">
              <w:r>
                <w:rPr>
                  <w:color w:val="0563C1"/>
                  <w:sz w:val="18"/>
                  <w:szCs w:val="18"/>
                  <w:u w:val="single"/>
                </w:rPr>
                <w:t>Argos</w:t>
              </w:r>
            </w:hyperlink>
          </w:p>
        </w:tc>
        <w:tc>
          <w:tcPr>
            <w:tcW w:w="6195"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72" w14:textId="77777777" w:rsidR="00031725" w:rsidRDefault="00000000">
            <w:pPr>
              <w:spacing w:after="0"/>
              <w:rPr>
                <w:sz w:val="18"/>
                <w:szCs w:val="18"/>
              </w:rPr>
            </w:pPr>
            <w:r>
              <w:rPr>
                <w:sz w:val="18"/>
                <w:szCs w:val="18"/>
              </w:rPr>
              <w:t xml:space="preserve">DMP tool with machine-readable output; confirmed compatible with the Data Director. </w:t>
            </w:r>
          </w:p>
        </w:tc>
      </w:tr>
      <w:tr w:rsidR="00031725" w14:paraId="532F019D" w14:textId="77777777">
        <w:trPr>
          <w:trHeight w:val="645"/>
        </w:trPr>
        <w:tc>
          <w:tcPr>
            <w:tcW w:w="282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73" w14:textId="77777777" w:rsidR="00031725" w:rsidRDefault="00031725">
            <w:pPr>
              <w:spacing w:after="0"/>
              <w:rPr>
                <w:color w:val="0563C1"/>
                <w:sz w:val="18"/>
                <w:szCs w:val="18"/>
                <w:u w:val="single"/>
              </w:rPr>
            </w:pPr>
            <w:hyperlink r:id="rId200">
              <w:r>
                <w:rPr>
                  <w:color w:val="0563C1"/>
                  <w:sz w:val="18"/>
                  <w:szCs w:val="18"/>
                  <w:u w:val="single"/>
                </w:rPr>
                <w:t>DAMAP</w:t>
              </w:r>
            </w:hyperlink>
          </w:p>
        </w:tc>
        <w:tc>
          <w:tcPr>
            <w:tcW w:w="619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74" w14:textId="77777777" w:rsidR="00031725" w:rsidRDefault="00000000">
            <w:pPr>
              <w:spacing w:after="0"/>
              <w:rPr>
                <w:sz w:val="18"/>
                <w:szCs w:val="18"/>
              </w:rPr>
            </w:pPr>
            <w:r>
              <w:rPr>
                <w:sz w:val="18"/>
                <w:szCs w:val="18"/>
              </w:rPr>
              <w:t xml:space="preserve">DMP tool with machine-readable output; confirmed compatible with the Data Director. </w:t>
            </w:r>
          </w:p>
        </w:tc>
      </w:tr>
    </w:tbl>
    <w:p w14:paraId="00000575" w14:textId="77777777" w:rsidR="00031725" w:rsidRDefault="00000000">
      <w:pPr>
        <w:spacing w:before="200" w:after="80"/>
        <w:rPr>
          <w:b/>
          <w:bCs/>
        </w:rPr>
      </w:pPr>
      <w:r>
        <w:rPr>
          <w:b/>
          <w:bCs/>
        </w:rPr>
        <w:t>AI Governance, Safety and Security</w:t>
      </w:r>
    </w:p>
    <w:tbl>
      <w:tblPr>
        <w:tblStyle w:val="af4"/>
        <w:tblW w:w="90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05"/>
        <w:gridCol w:w="6210"/>
      </w:tblGrid>
      <w:tr w:rsidR="00031725" w14:paraId="4D5DBFE6" w14:textId="77777777">
        <w:trPr>
          <w:trHeight w:val="405"/>
        </w:trPr>
        <w:tc>
          <w:tcPr>
            <w:tcW w:w="2805" w:type="dxa"/>
            <w:tcBorders>
              <w:top w:val="single" w:sz="5" w:space="0" w:color="005B52"/>
              <w:left w:val="single" w:sz="5" w:space="0" w:color="005B52"/>
              <w:bottom w:val="single" w:sz="5" w:space="0" w:color="005B52"/>
              <w:right w:val="single" w:sz="5" w:space="0" w:color="005B52"/>
            </w:tcBorders>
            <w:shd w:val="clear" w:color="auto" w:fill="0F6E56"/>
            <w:tcMar>
              <w:top w:w="80" w:type="dxa"/>
              <w:left w:w="120" w:type="dxa"/>
              <w:bottom w:w="80" w:type="dxa"/>
              <w:right w:w="120" w:type="dxa"/>
            </w:tcMar>
          </w:tcPr>
          <w:p w14:paraId="00000576" w14:textId="77777777" w:rsidR="00031725" w:rsidRDefault="00000000">
            <w:pPr>
              <w:spacing w:after="0"/>
              <w:rPr>
                <w:b/>
                <w:bCs/>
                <w:color w:val="FFFFFF"/>
                <w:sz w:val="18"/>
                <w:szCs w:val="18"/>
              </w:rPr>
            </w:pPr>
            <w:r>
              <w:rPr>
                <w:b/>
                <w:bCs/>
                <w:color w:val="FFFFFF"/>
                <w:sz w:val="18"/>
                <w:szCs w:val="18"/>
              </w:rPr>
              <w:t>Resource</w:t>
            </w:r>
          </w:p>
        </w:tc>
        <w:tc>
          <w:tcPr>
            <w:tcW w:w="6210" w:type="dxa"/>
            <w:tcBorders>
              <w:top w:val="single" w:sz="5" w:space="0" w:color="005B52"/>
              <w:left w:val="single" w:sz="5" w:space="0" w:color="005B52"/>
              <w:bottom w:val="single" w:sz="5" w:space="0" w:color="005B52"/>
              <w:right w:val="single" w:sz="5" w:space="0" w:color="005B52"/>
            </w:tcBorders>
            <w:shd w:val="clear" w:color="auto" w:fill="0F6E56"/>
            <w:tcMar>
              <w:top w:w="80" w:type="dxa"/>
              <w:left w:w="120" w:type="dxa"/>
              <w:bottom w:w="80" w:type="dxa"/>
              <w:right w:w="120" w:type="dxa"/>
            </w:tcMar>
          </w:tcPr>
          <w:p w14:paraId="00000577" w14:textId="77777777" w:rsidR="00031725" w:rsidRDefault="00000000">
            <w:pPr>
              <w:spacing w:after="0"/>
              <w:rPr>
                <w:b/>
                <w:bCs/>
                <w:color w:val="FFFFFF"/>
                <w:sz w:val="18"/>
                <w:szCs w:val="18"/>
              </w:rPr>
            </w:pPr>
            <w:r>
              <w:rPr>
                <w:b/>
                <w:bCs/>
                <w:color w:val="FFFFFF"/>
                <w:sz w:val="18"/>
                <w:szCs w:val="18"/>
              </w:rPr>
              <w:t>Description and source section</w:t>
            </w:r>
          </w:p>
        </w:tc>
      </w:tr>
      <w:tr w:rsidR="00031725" w14:paraId="2097A88F" w14:textId="77777777">
        <w:trPr>
          <w:trHeight w:val="885"/>
        </w:trPr>
        <w:tc>
          <w:tcPr>
            <w:tcW w:w="280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78" w14:textId="77777777" w:rsidR="00031725" w:rsidRDefault="00031725">
            <w:pPr>
              <w:spacing w:after="0"/>
              <w:rPr>
                <w:color w:val="0563C1"/>
                <w:sz w:val="18"/>
                <w:szCs w:val="18"/>
                <w:u w:val="single"/>
              </w:rPr>
            </w:pPr>
            <w:hyperlink r:id="rId201">
              <w:r>
                <w:rPr>
                  <w:color w:val="0563C1"/>
                  <w:sz w:val="18"/>
                  <w:szCs w:val="18"/>
                  <w:u w:val="single"/>
                </w:rPr>
                <w:t>Australian Cyber Security Centre - careful adoption of agentic AI services</w:t>
              </w:r>
            </w:hyperlink>
          </w:p>
        </w:tc>
        <w:tc>
          <w:tcPr>
            <w:tcW w:w="621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79" w14:textId="77777777" w:rsidR="00031725" w:rsidRDefault="00000000">
            <w:pPr>
              <w:spacing w:after="0"/>
              <w:rPr>
                <w:sz w:val="18"/>
                <w:szCs w:val="18"/>
              </w:rPr>
            </w:pPr>
            <w:r>
              <w:rPr>
                <w:sz w:val="18"/>
                <w:szCs w:val="18"/>
              </w:rPr>
              <w:t>Guidance on careful adoption of agentic AI services, directly relevant to the agentic AI security baseline.</w:t>
            </w:r>
          </w:p>
        </w:tc>
      </w:tr>
      <w:tr w:rsidR="00031725" w14:paraId="752A2CCB" w14:textId="77777777">
        <w:trPr>
          <w:trHeight w:val="885"/>
        </w:trPr>
        <w:tc>
          <w:tcPr>
            <w:tcW w:w="2805"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7A" w14:textId="77777777" w:rsidR="00031725" w:rsidRDefault="00031725">
            <w:pPr>
              <w:spacing w:after="0"/>
              <w:rPr>
                <w:color w:val="0563C1"/>
                <w:sz w:val="18"/>
                <w:szCs w:val="18"/>
                <w:u w:val="single"/>
              </w:rPr>
            </w:pPr>
            <w:hyperlink r:id="rId202">
              <w:r>
                <w:rPr>
                  <w:color w:val="0563C1"/>
                  <w:sz w:val="18"/>
                  <w:szCs w:val="18"/>
                  <w:u w:val="single"/>
                </w:rPr>
                <w:t>Agentic Automation Canvas</w:t>
              </w:r>
            </w:hyperlink>
          </w:p>
        </w:tc>
        <w:tc>
          <w:tcPr>
            <w:tcW w:w="6210"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7B" w14:textId="77777777" w:rsidR="00031725" w:rsidRDefault="00000000">
            <w:pPr>
              <w:spacing w:after="0"/>
              <w:rPr>
                <w:sz w:val="18"/>
                <w:szCs w:val="18"/>
              </w:rPr>
            </w:pPr>
            <w:r>
              <w:rPr>
                <w:sz w:val="18"/>
                <w:szCs w:val="18"/>
              </w:rPr>
              <w:t xml:space="preserve">Structured tool for honest planning of agentic platforms covering benefits, risks, human oversight and evaluation. Companion paper: </w:t>
            </w:r>
            <w:hyperlink r:id="rId203">
              <w:r w:rsidR="00031725">
                <w:rPr>
                  <w:color w:val="1155CC"/>
                  <w:sz w:val="18"/>
                  <w:szCs w:val="18"/>
                  <w:u w:val="single"/>
                </w:rPr>
                <w:t>arxiv.org/abs/2602.15090</w:t>
              </w:r>
            </w:hyperlink>
            <w:r>
              <w:rPr>
                <w:sz w:val="18"/>
                <w:szCs w:val="18"/>
              </w:rPr>
              <w:t xml:space="preserve">.  </w:t>
            </w:r>
          </w:p>
        </w:tc>
      </w:tr>
      <w:tr w:rsidR="00031725" w14:paraId="6E056673" w14:textId="77777777">
        <w:trPr>
          <w:trHeight w:val="885"/>
        </w:trPr>
        <w:tc>
          <w:tcPr>
            <w:tcW w:w="280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7C" w14:textId="77777777" w:rsidR="00031725" w:rsidRDefault="00031725">
            <w:pPr>
              <w:spacing w:after="0"/>
              <w:rPr>
                <w:color w:val="0563C1"/>
                <w:sz w:val="18"/>
                <w:szCs w:val="18"/>
                <w:u w:val="single"/>
              </w:rPr>
            </w:pPr>
            <w:hyperlink r:id="rId204">
              <w:r>
                <w:rPr>
                  <w:color w:val="0563C1"/>
                  <w:sz w:val="18"/>
                  <w:szCs w:val="18"/>
                  <w:u w:val="single"/>
                </w:rPr>
                <w:t>Agentic AI expectations vs realised value (companion paper)</w:t>
              </w:r>
            </w:hyperlink>
          </w:p>
        </w:tc>
        <w:tc>
          <w:tcPr>
            <w:tcW w:w="621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7D" w14:textId="77777777" w:rsidR="00031725" w:rsidRDefault="00000000">
            <w:pPr>
              <w:spacing w:after="0"/>
              <w:rPr>
                <w:sz w:val="18"/>
                <w:szCs w:val="18"/>
              </w:rPr>
            </w:pPr>
            <w:r>
              <w:rPr>
                <w:sz w:val="18"/>
                <w:szCs w:val="18"/>
              </w:rPr>
              <w:t xml:space="preserve">Companion paper on the gap between agentic AI expectations and realised value. </w:t>
            </w:r>
          </w:p>
        </w:tc>
      </w:tr>
      <w:tr w:rsidR="00031725" w14:paraId="6038299C" w14:textId="77777777">
        <w:trPr>
          <w:trHeight w:val="645"/>
        </w:trPr>
        <w:tc>
          <w:tcPr>
            <w:tcW w:w="2805"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7E" w14:textId="77777777" w:rsidR="00031725" w:rsidRDefault="00031725">
            <w:pPr>
              <w:spacing w:after="0"/>
              <w:rPr>
                <w:color w:val="0563C1"/>
                <w:sz w:val="18"/>
                <w:szCs w:val="18"/>
                <w:u w:val="single"/>
              </w:rPr>
            </w:pPr>
            <w:hyperlink r:id="rId205">
              <w:r>
                <w:rPr>
                  <w:color w:val="0563C1"/>
                  <w:sz w:val="18"/>
                  <w:szCs w:val="18"/>
                  <w:u w:val="single"/>
                </w:rPr>
                <w:t>Policy Cards</w:t>
              </w:r>
            </w:hyperlink>
          </w:p>
        </w:tc>
        <w:tc>
          <w:tcPr>
            <w:tcW w:w="6210"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7F" w14:textId="77777777" w:rsidR="00031725" w:rsidRDefault="00000000">
            <w:pPr>
              <w:spacing w:after="0"/>
              <w:rPr>
                <w:sz w:val="18"/>
                <w:szCs w:val="18"/>
              </w:rPr>
            </w:pPr>
            <w:r>
              <w:rPr>
                <w:sz w:val="18"/>
                <w:szCs w:val="18"/>
              </w:rPr>
              <w:t xml:space="preserve">Deployment-level governance tool that feeds from the Agentic Automation Canvas. </w:t>
            </w:r>
          </w:p>
        </w:tc>
      </w:tr>
      <w:tr w:rsidR="00031725" w14:paraId="65A12BCC" w14:textId="77777777">
        <w:trPr>
          <w:trHeight w:val="900"/>
        </w:trPr>
        <w:tc>
          <w:tcPr>
            <w:tcW w:w="280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80" w14:textId="77777777" w:rsidR="00031725" w:rsidRDefault="00000000">
            <w:pPr>
              <w:spacing w:after="0"/>
              <w:rPr>
                <w:sz w:val="18"/>
                <w:szCs w:val="18"/>
              </w:rPr>
            </w:pPr>
            <w:r>
              <w:rPr>
                <w:sz w:val="18"/>
                <w:szCs w:val="18"/>
              </w:rPr>
              <w:t>ACHPR Draft African Guidelines on Data Access and Human Rights</w:t>
            </w:r>
          </w:p>
        </w:tc>
        <w:tc>
          <w:tcPr>
            <w:tcW w:w="621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81" w14:textId="77777777" w:rsidR="00031725" w:rsidRDefault="00000000">
            <w:pPr>
              <w:spacing w:after="0"/>
              <w:rPr>
                <w:sz w:val="18"/>
                <w:szCs w:val="18"/>
              </w:rPr>
            </w:pPr>
            <w:r>
              <w:rPr>
                <w:sz w:val="18"/>
                <w:szCs w:val="18"/>
              </w:rPr>
              <w:t>Draft guidelines on promoting and harnessing data access for human rights and sustainable development; no URL given in source material. Relevant to legal/sovereignty prerequisites and Open First.</w:t>
            </w:r>
          </w:p>
        </w:tc>
      </w:tr>
      <w:tr w:rsidR="00031725" w14:paraId="731A210D" w14:textId="77777777">
        <w:trPr>
          <w:trHeight w:val="885"/>
        </w:trPr>
        <w:tc>
          <w:tcPr>
            <w:tcW w:w="2805"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82" w14:textId="77777777" w:rsidR="00031725" w:rsidRDefault="00000000">
            <w:pPr>
              <w:spacing w:after="0"/>
              <w:rPr>
                <w:sz w:val="18"/>
                <w:szCs w:val="18"/>
              </w:rPr>
            </w:pPr>
            <w:r>
              <w:rPr>
                <w:sz w:val="18"/>
                <w:szCs w:val="18"/>
              </w:rPr>
              <w:lastRenderedPageBreak/>
              <w:t>EOSC-Future / RDA ENVISAGE &amp; PILOT Principles for AI</w:t>
            </w:r>
          </w:p>
        </w:tc>
        <w:tc>
          <w:tcPr>
            <w:tcW w:w="6210"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83" w14:textId="77777777" w:rsidR="00031725" w:rsidRDefault="00000000">
            <w:pPr>
              <w:spacing w:after="0"/>
              <w:rPr>
                <w:sz w:val="18"/>
                <w:szCs w:val="18"/>
              </w:rPr>
            </w:pPr>
            <w:r>
              <w:rPr>
                <w:sz w:val="18"/>
                <w:szCs w:val="18"/>
              </w:rPr>
              <w:t>Principles under development relevant to a potential future Ethics by Design architecture principle.</w:t>
            </w:r>
          </w:p>
        </w:tc>
      </w:tr>
    </w:tbl>
    <w:p w14:paraId="00000584" w14:textId="77777777" w:rsidR="00031725" w:rsidRDefault="00000000">
      <w:pPr>
        <w:spacing w:before="200" w:after="80"/>
        <w:rPr>
          <w:b/>
          <w:bCs/>
        </w:rPr>
      </w:pPr>
      <w:r>
        <w:rPr>
          <w:b/>
          <w:bCs/>
        </w:rPr>
        <w:t>Environmental Impact</w:t>
      </w:r>
    </w:p>
    <w:tbl>
      <w:tblPr>
        <w:tblStyle w:val="af5"/>
        <w:tblW w:w="90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35"/>
        <w:gridCol w:w="6180"/>
      </w:tblGrid>
      <w:tr w:rsidR="00031725" w14:paraId="4C72D7CC" w14:textId="77777777">
        <w:trPr>
          <w:trHeight w:val="405"/>
        </w:trPr>
        <w:tc>
          <w:tcPr>
            <w:tcW w:w="2835" w:type="dxa"/>
            <w:tcBorders>
              <w:top w:val="single" w:sz="5" w:space="0" w:color="005B52"/>
              <w:left w:val="single" w:sz="5" w:space="0" w:color="005B52"/>
              <w:bottom w:val="single" w:sz="5" w:space="0" w:color="005B52"/>
              <w:right w:val="single" w:sz="5" w:space="0" w:color="005B52"/>
            </w:tcBorders>
            <w:shd w:val="clear" w:color="auto" w:fill="0F6E56"/>
            <w:tcMar>
              <w:top w:w="80" w:type="dxa"/>
              <w:left w:w="120" w:type="dxa"/>
              <w:bottom w:w="80" w:type="dxa"/>
              <w:right w:w="120" w:type="dxa"/>
            </w:tcMar>
          </w:tcPr>
          <w:p w14:paraId="00000585" w14:textId="77777777" w:rsidR="00031725" w:rsidRDefault="00000000">
            <w:pPr>
              <w:spacing w:after="0"/>
              <w:rPr>
                <w:b/>
                <w:bCs/>
                <w:color w:val="FFFFFF"/>
                <w:sz w:val="18"/>
                <w:szCs w:val="18"/>
              </w:rPr>
            </w:pPr>
            <w:r>
              <w:rPr>
                <w:b/>
                <w:bCs/>
                <w:color w:val="FFFFFF"/>
                <w:sz w:val="18"/>
                <w:szCs w:val="18"/>
              </w:rPr>
              <w:t>Resource</w:t>
            </w:r>
          </w:p>
        </w:tc>
        <w:tc>
          <w:tcPr>
            <w:tcW w:w="6180" w:type="dxa"/>
            <w:tcBorders>
              <w:top w:val="single" w:sz="5" w:space="0" w:color="005B52"/>
              <w:left w:val="single" w:sz="5" w:space="0" w:color="005B52"/>
              <w:bottom w:val="single" w:sz="5" w:space="0" w:color="005B52"/>
              <w:right w:val="single" w:sz="5" w:space="0" w:color="005B52"/>
            </w:tcBorders>
            <w:shd w:val="clear" w:color="auto" w:fill="0F6E56"/>
            <w:tcMar>
              <w:top w:w="80" w:type="dxa"/>
              <w:left w:w="120" w:type="dxa"/>
              <w:bottom w:w="80" w:type="dxa"/>
              <w:right w:w="120" w:type="dxa"/>
            </w:tcMar>
          </w:tcPr>
          <w:p w14:paraId="00000586" w14:textId="77777777" w:rsidR="00031725" w:rsidRDefault="00000000">
            <w:pPr>
              <w:spacing w:after="0"/>
              <w:rPr>
                <w:b/>
                <w:bCs/>
                <w:color w:val="FFFFFF"/>
                <w:sz w:val="18"/>
                <w:szCs w:val="18"/>
              </w:rPr>
            </w:pPr>
            <w:r>
              <w:rPr>
                <w:b/>
                <w:bCs/>
                <w:color w:val="FFFFFF"/>
                <w:sz w:val="18"/>
                <w:szCs w:val="18"/>
              </w:rPr>
              <w:t>Description and source section</w:t>
            </w:r>
          </w:p>
        </w:tc>
      </w:tr>
      <w:tr w:rsidR="00031725" w14:paraId="6CCD927C" w14:textId="77777777">
        <w:trPr>
          <w:trHeight w:val="645"/>
        </w:trPr>
        <w:tc>
          <w:tcPr>
            <w:tcW w:w="283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87" w14:textId="77777777" w:rsidR="00031725" w:rsidRDefault="00031725">
            <w:pPr>
              <w:spacing w:after="0"/>
              <w:rPr>
                <w:color w:val="0563C1"/>
                <w:sz w:val="18"/>
                <w:szCs w:val="18"/>
                <w:u w:val="single"/>
              </w:rPr>
            </w:pPr>
            <w:hyperlink r:id="rId206">
              <w:r>
                <w:rPr>
                  <w:color w:val="0563C1"/>
                  <w:sz w:val="18"/>
                  <w:szCs w:val="18"/>
                  <w:u w:val="single"/>
                </w:rPr>
                <w:t>OSAI Guidelines on AI environmental impact</w:t>
              </w:r>
            </w:hyperlink>
          </w:p>
        </w:tc>
        <w:tc>
          <w:tcPr>
            <w:tcW w:w="618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88" w14:textId="77777777" w:rsidR="00031725" w:rsidRDefault="00000000">
            <w:pPr>
              <w:spacing w:after="0"/>
              <w:rPr>
                <w:sz w:val="18"/>
                <w:szCs w:val="18"/>
              </w:rPr>
            </w:pPr>
            <w:r>
              <w:rPr>
                <w:sz w:val="18"/>
                <w:szCs w:val="18"/>
              </w:rPr>
              <w:t xml:space="preserve">Includes Frugal AI principles and Green AI techniques relevant to Low Impact (P14). </w:t>
            </w:r>
          </w:p>
        </w:tc>
      </w:tr>
      <w:tr w:rsidR="00031725" w14:paraId="25799609" w14:textId="77777777">
        <w:trPr>
          <w:trHeight w:val="645"/>
        </w:trPr>
        <w:tc>
          <w:tcPr>
            <w:tcW w:w="2835"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89" w14:textId="77777777" w:rsidR="00031725" w:rsidRDefault="00031725">
            <w:pPr>
              <w:spacing w:after="0"/>
              <w:rPr>
                <w:color w:val="0563C1"/>
                <w:sz w:val="18"/>
                <w:szCs w:val="18"/>
                <w:u w:val="single"/>
              </w:rPr>
            </w:pPr>
            <w:hyperlink r:id="rId207">
              <w:r>
                <w:rPr>
                  <w:color w:val="0563C1"/>
                  <w:sz w:val="18"/>
                  <w:szCs w:val="18"/>
                  <w:u w:val="single"/>
                </w:rPr>
                <w:t>OSAI AI ecosystem landscaping</w:t>
              </w:r>
            </w:hyperlink>
          </w:p>
        </w:tc>
        <w:tc>
          <w:tcPr>
            <w:tcW w:w="6180"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8A" w14:textId="77777777" w:rsidR="00031725" w:rsidRDefault="00000000">
            <w:pPr>
              <w:spacing w:after="0"/>
              <w:rPr>
                <w:sz w:val="18"/>
                <w:szCs w:val="18"/>
              </w:rPr>
            </w:pPr>
            <w:r>
              <w:rPr>
                <w:sz w:val="18"/>
                <w:szCs w:val="18"/>
              </w:rPr>
              <w:t xml:space="preserve">Calculators and tooling for environmental monitoring relevant to Low Impact (P14). </w:t>
            </w:r>
          </w:p>
        </w:tc>
      </w:tr>
      <w:tr w:rsidR="00031725" w14:paraId="447D9BD4" w14:textId="77777777">
        <w:trPr>
          <w:trHeight w:val="405"/>
        </w:trPr>
        <w:tc>
          <w:tcPr>
            <w:tcW w:w="283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8B" w14:textId="77777777" w:rsidR="00031725" w:rsidRDefault="00031725">
            <w:pPr>
              <w:spacing w:after="0"/>
              <w:rPr>
                <w:color w:val="0563C1"/>
                <w:sz w:val="18"/>
                <w:szCs w:val="18"/>
                <w:u w:val="single"/>
              </w:rPr>
            </w:pPr>
            <w:hyperlink r:id="rId208">
              <w:r>
                <w:rPr>
                  <w:color w:val="0563C1"/>
                  <w:sz w:val="18"/>
                  <w:szCs w:val="18"/>
                  <w:u w:val="single"/>
                </w:rPr>
                <w:t>OECD AI Footprint</w:t>
              </w:r>
            </w:hyperlink>
          </w:p>
        </w:tc>
        <w:tc>
          <w:tcPr>
            <w:tcW w:w="618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8C" w14:textId="77777777" w:rsidR="00031725" w:rsidRDefault="00000000">
            <w:pPr>
              <w:spacing w:after="0"/>
              <w:rPr>
                <w:sz w:val="18"/>
                <w:szCs w:val="18"/>
              </w:rPr>
            </w:pPr>
            <w:r>
              <w:rPr>
                <w:sz w:val="18"/>
                <w:szCs w:val="18"/>
              </w:rPr>
              <w:t xml:space="preserve">Environmental footprint resource relevant to Low Impact (P14). </w:t>
            </w:r>
          </w:p>
        </w:tc>
      </w:tr>
      <w:tr w:rsidR="00031725" w14:paraId="21CFF593" w14:textId="77777777">
        <w:trPr>
          <w:trHeight w:val="645"/>
        </w:trPr>
        <w:tc>
          <w:tcPr>
            <w:tcW w:w="2835"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8D" w14:textId="77777777" w:rsidR="00031725" w:rsidRDefault="00031725">
            <w:pPr>
              <w:spacing w:after="0"/>
              <w:rPr>
                <w:color w:val="0563C1"/>
                <w:sz w:val="18"/>
                <w:szCs w:val="18"/>
                <w:u w:val="single"/>
              </w:rPr>
            </w:pPr>
            <w:hyperlink r:id="rId209">
              <w:r>
                <w:rPr>
                  <w:color w:val="0563C1"/>
                  <w:sz w:val="18"/>
                  <w:szCs w:val="18"/>
                  <w:u w:val="single"/>
                </w:rPr>
                <w:t>FAS energy footprint measurement</w:t>
              </w:r>
            </w:hyperlink>
          </w:p>
        </w:tc>
        <w:tc>
          <w:tcPr>
            <w:tcW w:w="6180"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8E" w14:textId="77777777" w:rsidR="00031725" w:rsidRDefault="00000000">
            <w:pPr>
              <w:spacing w:after="0"/>
              <w:rPr>
                <w:sz w:val="18"/>
                <w:szCs w:val="18"/>
              </w:rPr>
            </w:pPr>
            <w:r>
              <w:rPr>
                <w:sz w:val="18"/>
                <w:szCs w:val="18"/>
              </w:rPr>
              <w:t xml:space="preserve">Energy footprint measurement resource relevant to Low Impact (P14). </w:t>
            </w:r>
          </w:p>
        </w:tc>
      </w:tr>
      <w:tr w:rsidR="00031725" w14:paraId="420CCEE9" w14:textId="77777777">
        <w:trPr>
          <w:trHeight w:val="645"/>
        </w:trPr>
        <w:tc>
          <w:tcPr>
            <w:tcW w:w="283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8F" w14:textId="77777777" w:rsidR="00031725" w:rsidRDefault="00031725">
            <w:pPr>
              <w:spacing w:after="0"/>
              <w:rPr>
                <w:color w:val="0563C1"/>
                <w:sz w:val="18"/>
                <w:szCs w:val="18"/>
                <w:u w:val="single"/>
              </w:rPr>
            </w:pPr>
            <w:hyperlink r:id="rId210">
              <w:r>
                <w:rPr>
                  <w:color w:val="0563C1"/>
                  <w:sz w:val="18"/>
                  <w:szCs w:val="18"/>
                  <w:u w:val="single"/>
                </w:rPr>
                <w:t>Nature - AI environmental impact</w:t>
              </w:r>
            </w:hyperlink>
          </w:p>
        </w:tc>
        <w:tc>
          <w:tcPr>
            <w:tcW w:w="618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90" w14:textId="77777777" w:rsidR="00031725" w:rsidRDefault="00000000">
            <w:pPr>
              <w:spacing w:after="0"/>
              <w:rPr>
                <w:sz w:val="18"/>
                <w:szCs w:val="18"/>
              </w:rPr>
            </w:pPr>
            <w:r>
              <w:rPr>
                <w:sz w:val="18"/>
                <w:szCs w:val="18"/>
              </w:rPr>
              <w:t>Citable reference for environmental impact considerations relevant to Low Impact (P14).</w:t>
            </w:r>
          </w:p>
        </w:tc>
      </w:tr>
    </w:tbl>
    <w:p w14:paraId="00000591" w14:textId="77777777" w:rsidR="00031725" w:rsidRDefault="00031725">
      <w:pPr>
        <w:rPr>
          <w:b/>
          <w:bCs/>
        </w:rPr>
      </w:pPr>
    </w:p>
    <w:p w14:paraId="00000592" w14:textId="77777777" w:rsidR="00031725" w:rsidRDefault="00000000">
      <w:pPr>
        <w:rPr>
          <w:b/>
          <w:bCs/>
        </w:rPr>
      </w:pPr>
      <w:r>
        <w:rPr>
          <w:b/>
          <w:bCs/>
        </w:rPr>
        <w:t>Linking, Discovery and Impact Measurement</w:t>
      </w:r>
    </w:p>
    <w:tbl>
      <w:tblPr>
        <w:tblStyle w:val="af6"/>
        <w:tblW w:w="90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50"/>
        <w:gridCol w:w="6165"/>
      </w:tblGrid>
      <w:tr w:rsidR="00031725" w14:paraId="006A9791" w14:textId="77777777">
        <w:trPr>
          <w:trHeight w:val="405"/>
        </w:trPr>
        <w:tc>
          <w:tcPr>
            <w:tcW w:w="2850" w:type="dxa"/>
            <w:tcBorders>
              <w:top w:val="single" w:sz="5" w:space="0" w:color="005B52"/>
              <w:left w:val="single" w:sz="5" w:space="0" w:color="005B52"/>
              <w:bottom w:val="single" w:sz="5" w:space="0" w:color="005B52"/>
              <w:right w:val="single" w:sz="5" w:space="0" w:color="005B52"/>
            </w:tcBorders>
            <w:shd w:val="clear" w:color="auto" w:fill="0F6E56"/>
            <w:tcMar>
              <w:top w:w="80" w:type="dxa"/>
              <w:left w:w="120" w:type="dxa"/>
              <w:bottom w:w="80" w:type="dxa"/>
              <w:right w:w="120" w:type="dxa"/>
            </w:tcMar>
          </w:tcPr>
          <w:p w14:paraId="00000593" w14:textId="77777777" w:rsidR="00031725" w:rsidRDefault="00000000">
            <w:pPr>
              <w:spacing w:after="0"/>
              <w:rPr>
                <w:b/>
                <w:bCs/>
                <w:color w:val="FFFFFF"/>
                <w:sz w:val="18"/>
                <w:szCs w:val="18"/>
              </w:rPr>
            </w:pPr>
            <w:r>
              <w:rPr>
                <w:b/>
                <w:bCs/>
                <w:color w:val="FFFFFF"/>
                <w:sz w:val="18"/>
                <w:szCs w:val="18"/>
              </w:rPr>
              <w:t>Resource (linked)</w:t>
            </w:r>
          </w:p>
        </w:tc>
        <w:tc>
          <w:tcPr>
            <w:tcW w:w="6165" w:type="dxa"/>
            <w:tcBorders>
              <w:top w:val="single" w:sz="5" w:space="0" w:color="005B52"/>
              <w:left w:val="single" w:sz="5" w:space="0" w:color="005B52"/>
              <w:bottom w:val="single" w:sz="5" w:space="0" w:color="005B52"/>
              <w:right w:val="single" w:sz="5" w:space="0" w:color="005B52"/>
            </w:tcBorders>
            <w:shd w:val="clear" w:color="auto" w:fill="0F6E56"/>
            <w:tcMar>
              <w:top w:w="80" w:type="dxa"/>
              <w:left w:w="120" w:type="dxa"/>
              <w:bottom w:w="80" w:type="dxa"/>
              <w:right w:w="120" w:type="dxa"/>
            </w:tcMar>
          </w:tcPr>
          <w:p w14:paraId="00000594" w14:textId="77777777" w:rsidR="00031725" w:rsidRDefault="00000000">
            <w:pPr>
              <w:spacing w:after="0"/>
              <w:rPr>
                <w:b/>
                <w:bCs/>
                <w:color w:val="FFFFFF"/>
                <w:sz w:val="18"/>
                <w:szCs w:val="18"/>
              </w:rPr>
            </w:pPr>
            <w:r>
              <w:rPr>
                <w:b/>
                <w:bCs/>
                <w:color w:val="FFFFFF"/>
                <w:sz w:val="18"/>
                <w:szCs w:val="18"/>
              </w:rPr>
              <w:t>Description and source section</w:t>
            </w:r>
          </w:p>
        </w:tc>
      </w:tr>
      <w:tr w:rsidR="00031725" w14:paraId="14453DC4" w14:textId="77777777">
        <w:trPr>
          <w:trHeight w:val="885"/>
        </w:trPr>
        <w:tc>
          <w:tcPr>
            <w:tcW w:w="285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95" w14:textId="77777777" w:rsidR="00031725" w:rsidRDefault="00031725">
            <w:pPr>
              <w:spacing w:after="0"/>
              <w:rPr>
                <w:color w:val="0563C1"/>
                <w:sz w:val="18"/>
                <w:szCs w:val="18"/>
                <w:u w:val="single"/>
              </w:rPr>
            </w:pPr>
            <w:hyperlink r:id="rId211">
              <w:r>
                <w:rPr>
                  <w:color w:val="0563C1"/>
                  <w:sz w:val="18"/>
                  <w:szCs w:val="18"/>
                  <w:u w:val="single"/>
                </w:rPr>
                <w:t>COMET initiative</w:t>
              </w:r>
            </w:hyperlink>
          </w:p>
        </w:tc>
        <w:tc>
          <w:tcPr>
            <w:tcW w:w="616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96" w14:textId="77777777" w:rsidR="00031725" w:rsidRDefault="00000000">
            <w:pPr>
              <w:spacing w:after="0"/>
              <w:rPr>
                <w:sz w:val="18"/>
                <w:szCs w:val="18"/>
              </w:rPr>
            </w:pPr>
            <w:r>
              <w:rPr>
                <w:sz w:val="18"/>
                <w:szCs w:val="18"/>
              </w:rPr>
              <w:t>Supports community-curated enrichment of PID metadata for existing outputs, directly aligned with the retrospective scope of metadata remediation.</w:t>
            </w:r>
          </w:p>
        </w:tc>
      </w:tr>
      <w:tr w:rsidR="00031725" w14:paraId="3F5F4280" w14:textId="77777777">
        <w:trPr>
          <w:trHeight w:val="660"/>
        </w:trPr>
        <w:tc>
          <w:tcPr>
            <w:tcW w:w="2850"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97" w14:textId="77777777" w:rsidR="00031725" w:rsidRDefault="00000000">
            <w:pPr>
              <w:spacing w:after="0"/>
              <w:rPr>
                <w:sz w:val="18"/>
                <w:szCs w:val="18"/>
              </w:rPr>
            </w:pPr>
            <w:r>
              <w:rPr>
                <w:sz w:val="18"/>
                <w:szCs w:val="18"/>
              </w:rPr>
              <w:t>DataCite MCP</w:t>
            </w:r>
          </w:p>
        </w:tc>
        <w:tc>
          <w:tcPr>
            <w:tcW w:w="6165"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98" w14:textId="77777777" w:rsidR="00031725" w:rsidRDefault="00000000">
            <w:pPr>
              <w:spacing w:after="0"/>
              <w:rPr>
                <w:sz w:val="18"/>
                <w:szCs w:val="18"/>
              </w:rPr>
            </w:pPr>
            <w:r>
              <w:rPr>
                <w:sz w:val="18"/>
                <w:szCs w:val="18"/>
              </w:rPr>
              <w:t xml:space="preserve">MCP server for dataset discovery, in active development at time of writing; relevant to surfacing related datasets. </w:t>
            </w:r>
          </w:p>
        </w:tc>
      </w:tr>
      <w:tr w:rsidR="00031725" w14:paraId="4486F39E" w14:textId="77777777">
        <w:trPr>
          <w:trHeight w:val="645"/>
        </w:trPr>
        <w:tc>
          <w:tcPr>
            <w:tcW w:w="285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99" w14:textId="77777777" w:rsidR="00031725" w:rsidRDefault="00031725">
            <w:pPr>
              <w:spacing w:after="0"/>
              <w:rPr>
                <w:color w:val="0563C1"/>
                <w:sz w:val="18"/>
                <w:szCs w:val="18"/>
                <w:u w:val="single"/>
              </w:rPr>
            </w:pPr>
            <w:hyperlink r:id="rId212">
              <w:r>
                <w:rPr>
                  <w:color w:val="0563C1"/>
                  <w:sz w:val="18"/>
                  <w:szCs w:val="18"/>
                  <w:u w:val="single"/>
                </w:rPr>
                <w:t>MicroPublication Biology</w:t>
              </w:r>
            </w:hyperlink>
          </w:p>
        </w:tc>
        <w:tc>
          <w:tcPr>
            <w:tcW w:w="616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9A" w14:textId="77777777" w:rsidR="00031725" w:rsidRDefault="00000000">
            <w:pPr>
              <w:spacing w:after="0"/>
              <w:rPr>
                <w:sz w:val="18"/>
                <w:szCs w:val="18"/>
              </w:rPr>
            </w:pPr>
            <w:r>
              <w:rPr>
                <w:sz w:val="18"/>
                <w:szCs w:val="18"/>
              </w:rPr>
              <w:t xml:space="preserve">Referenced as a potentially relevant resource for linking data to minimal research outputs. </w:t>
            </w:r>
          </w:p>
        </w:tc>
      </w:tr>
      <w:tr w:rsidR="00031725" w14:paraId="083CBEBB" w14:textId="77777777">
        <w:trPr>
          <w:trHeight w:val="630"/>
        </w:trPr>
        <w:tc>
          <w:tcPr>
            <w:tcW w:w="2850"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9B" w14:textId="77777777" w:rsidR="00031725" w:rsidRDefault="00031725">
            <w:pPr>
              <w:spacing w:after="0"/>
              <w:rPr>
                <w:color w:val="0563C1"/>
                <w:sz w:val="18"/>
                <w:szCs w:val="18"/>
                <w:u w:val="single"/>
              </w:rPr>
            </w:pPr>
            <w:hyperlink r:id="rId213">
              <w:r>
                <w:rPr>
                  <w:color w:val="0563C1"/>
                  <w:sz w:val="18"/>
                  <w:szCs w:val="18"/>
                  <w:u w:val="single"/>
                </w:rPr>
                <w:t>CSIRO Impact Measurement Framework</w:t>
              </w:r>
            </w:hyperlink>
          </w:p>
        </w:tc>
        <w:tc>
          <w:tcPr>
            <w:tcW w:w="6165"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9C" w14:textId="77777777" w:rsidR="00031725" w:rsidRDefault="00000000">
            <w:pPr>
              <w:spacing w:after="0"/>
              <w:rPr>
                <w:sz w:val="18"/>
                <w:szCs w:val="18"/>
              </w:rPr>
            </w:pPr>
            <w:r>
              <w:rPr>
                <w:sz w:val="18"/>
                <w:szCs w:val="18"/>
              </w:rPr>
              <w:t>Includes lead indicators for slow-materialising impacts; proposed as a model for longitudinal evaluation of the Data Director's impact.</w:t>
            </w:r>
          </w:p>
        </w:tc>
      </w:tr>
    </w:tbl>
    <w:p w14:paraId="0000059D" w14:textId="77777777" w:rsidR="00031725" w:rsidRDefault="00031725"/>
    <w:p w14:paraId="10BAF851" w14:textId="77777777" w:rsidR="00895C8C" w:rsidRDefault="00895C8C">
      <w:pPr>
        <w:rPr>
          <w:b/>
          <w:bCs/>
        </w:rPr>
      </w:pPr>
    </w:p>
    <w:p w14:paraId="567C29FC" w14:textId="77777777" w:rsidR="00895C8C" w:rsidRDefault="00895C8C">
      <w:pPr>
        <w:rPr>
          <w:b/>
          <w:bCs/>
        </w:rPr>
      </w:pPr>
    </w:p>
    <w:p w14:paraId="2C3CB738" w14:textId="77777777" w:rsidR="00895C8C" w:rsidRDefault="00895C8C">
      <w:pPr>
        <w:rPr>
          <w:b/>
          <w:bCs/>
        </w:rPr>
      </w:pPr>
    </w:p>
    <w:p w14:paraId="0000059E" w14:textId="74639AF6" w:rsidR="00031725" w:rsidRDefault="00000000">
      <w:pPr>
        <w:rPr>
          <w:b/>
          <w:bCs/>
        </w:rPr>
      </w:pPr>
      <w:r>
        <w:rPr>
          <w:b/>
          <w:bCs/>
        </w:rPr>
        <w:lastRenderedPageBreak/>
        <w:t>Comparator Models for Maintenance and Review</w:t>
      </w:r>
    </w:p>
    <w:tbl>
      <w:tblPr>
        <w:tblStyle w:val="af7"/>
        <w:tblW w:w="90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35"/>
        <w:gridCol w:w="6180"/>
      </w:tblGrid>
      <w:tr w:rsidR="00031725" w14:paraId="1D6DC69B" w14:textId="77777777">
        <w:trPr>
          <w:trHeight w:val="405"/>
        </w:trPr>
        <w:tc>
          <w:tcPr>
            <w:tcW w:w="2835" w:type="dxa"/>
            <w:tcBorders>
              <w:top w:val="single" w:sz="5" w:space="0" w:color="005B52"/>
              <w:left w:val="single" w:sz="5" w:space="0" w:color="005B52"/>
              <w:bottom w:val="single" w:sz="5" w:space="0" w:color="005B52"/>
              <w:right w:val="single" w:sz="5" w:space="0" w:color="005B52"/>
            </w:tcBorders>
            <w:shd w:val="clear" w:color="auto" w:fill="0F6E56"/>
            <w:tcMar>
              <w:top w:w="80" w:type="dxa"/>
              <w:left w:w="120" w:type="dxa"/>
              <w:bottom w:w="80" w:type="dxa"/>
              <w:right w:w="120" w:type="dxa"/>
            </w:tcMar>
          </w:tcPr>
          <w:p w14:paraId="0000059F" w14:textId="77777777" w:rsidR="00031725" w:rsidRDefault="00000000">
            <w:pPr>
              <w:spacing w:after="0"/>
              <w:rPr>
                <w:b/>
                <w:bCs/>
                <w:color w:val="FFFFFF"/>
                <w:sz w:val="18"/>
                <w:szCs w:val="18"/>
              </w:rPr>
            </w:pPr>
            <w:r>
              <w:rPr>
                <w:b/>
                <w:bCs/>
                <w:color w:val="FFFFFF"/>
                <w:sz w:val="18"/>
                <w:szCs w:val="18"/>
              </w:rPr>
              <w:t>Resource</w:t>
            </w:r>
          </w:p>
        </w:tc>
        <w:tc>
          <w:tcPr>
            <w:tcW w:w="6180" w:type="dxa"/>
            <w:tcBorders>
              <w:top w:val="single" w:sz="5" w:space="0" w:color="005B52"/>
              <w:left w:val="single" w:sz="5" w:space="0" w:color="005B52"/>
              <w:bottom w:val="single" w:sz="5" w:space="0" w:color="005B52"/>
              <w:right w:val="single" w:sz="5" w:space="0" w:color="005B52"/>
            </w:tcBorders>
            <w:shd w:val="clear" w:color="auto" w:fill="0F6E56"/>
            <w:tcMar>
              <w:top w:w="80" w:type="dxa"/>
              <w:left w:w="120" w:type="dxa"/>
              <w:bottom w:w="80" w:type="dxa"/>
              <w:right w:w="120" w:type="dxa"/>
            </w:tcMar>
          </w:tcPr>
          <w:p w14:paraId="000005A0" w14:textId="77777777" w:rsidR="00031725" w:rsidRDefault="00000000">
            <w:pPr>
              <w:spacing w:after="0"/>
              <w:rPr>
                <w:b/>
                <w:bCs/>
                <w:color w:val="FFFFFF"/>
                <w:sz w:val="18"/>
                <w:szCs w:val="18"/>
              </w:rPr>
            </w:pPr>
            <w:r>
              <w:rPr>
                <w:b/>
                <w:bCs/>
                <w:color w:val="FFFFFF"/>
                <w:sz w:val="18"/>
                <w:szCs w:val="18"/>
              </w:rPr>
              <w:t>Description and source section</w:t>
            </w:r>
          </w:p>
        </w:tc>
      </w:tr>
      <w:tr w:rsidR="00031725" w14:paraId="1768E467" w14:textId="77777777">
        <w:trPr>
          <w:trHeight w:val="645"/>
        </w:trPr>
        <w:tc>
          <w:tcPr>
            <w:tcW w:w="283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A1" w14:textId="77777777" w:rsidR="00031725" w:rsidRDefault="00031725">
            <w:pPr>
              <w:spacing w:after="0"/>
              <w:rPr>
                <w:color w:val="0563C1"/>
                <w:sz w:val="18"/>
                <w:szCs w:val="18"/>
                <w:u w:val="single"/>
              </w:rPr>
            </w:pPr>
            <w:hyperlink r:id="rId214">
              <w:r>
                <w:rPr>
                  <w:color w:val="0563C1"/>
                  <w:sz w:val="18"/>
                  <w:szCs w:val="18"/>
                  <w:u w:val="single"/>
                </w:rPr>
                <w:t>GitHub (RDA organisation)</w:t>
              </w:r>
            </w:hyperlink>
          </w:p>
        </w:tc>
        <w:tc>
          <w:tcPr>
            <w:tcW w:w="618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A2" w14:textId="77777777" w:rsidR="00031725" w:rsidRDefault="00000000">
            <w:pPr>
              <w:spacing w:after="0"/>
              <w:rPr>
                <w:sz w:val="18"/>
                <w:szCs w:val="18"/>
              </w:rPr>
            </w:pPr>
            <w:r>
              <w:rPr>
                <w:sz w:val="18"/>
                <w:szCs w:val="18"/>
              </w:rPr>
              <w:t>Proposed platform for maintaining the Blueprint with tracked, monitored and versioned changes.</w:t>
            </w:r>
          </w:p>
        </w:tc>
      </w:tr>
      <w:tr w:rsidR="00031725" w14:paraId="2E0F10D2" w14:textId="77777777">
        <w:trPr>
          <w:trHeight w:val="645"/>
        </w:trPr>
        <w:tc>
          <w:tcPr>
            <w:tcW w:w="2835"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A3" w14:textId="77777777" w:rsidR="00031725" w:rsidRDefault="00031725">
            <w:pPr>
              <w:spacing w:after="0"/>
              <w:rPr>
                <w:color w:val="0563C1"/>
                <w:sz w:val="18"/>
                <w:szCs w:val="18"/>
                <w:u w:val="single"/>
              </w:rPr>
            </w:pPr>
            <w:hyperlink r:id="rId215">
              <w:r>
                <w:rPr>
                  <w:color w:val="0563C1"/>
                  <w:sz w:val="18"/>
                  <w:szCs w:val="18"/>
                  <w:u w:val="single"/>
                </w:rPr>
                <w:t>Zenodo</w:t>
              </w:r>
            </w:hyperlink>
          </w:p>
        </w:tc>
        <w:tc>
          <w:tcPr>
            <w:tcW w:w="6180"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A4" w14:textId="77777777" w:rsidR="00031725" w:rsidRDefault="00000000">
            <w:pPr>
              <w:spacing w:after="0"/>
              <w:rPr>
                <w:sz w:val="18"/>
                <w:szCs w:val="18"/>
              </w:rPr>
            </w:pPr>
            <w:r>
              <w:rPr>
                <w:sz w:val="18"/>
                <w:szCs w:val="18"/>
              </w:rPr>
              <w:t xml:space="preserve">Proposed platform, potentially synced with GitHub, for DOI minting and versioning of the Blueprint. </w:t>
            </w:r>
          </w:p>
        </w:tc>
      </w:tr>
      <w:tr w:rsidR="00031725" w14:paraId="1305141F" w14:textId="77777777">
        <w:trPr>
          <w:trHeight w:val="645"/>
        </w:trPr>
        <w:tc>
          <w:tcPr>
            <w:tcW w:w="283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A5" w14:textId="77777777" w:rsidR="00031725" w:rsidRDefault="00031725">
            <w:pPr>
              <w:spacing w:after="0"/>
              <w:rPr>
                <w:color w:val="0563C1"/>
                <w:sz w:val="18"/>
                <w:szCs w:val="18"/>
                <w:u w:val="single"/>
              </w:rPr>
            </w:pPr>
            <w:hyperlink r:id="rId216">
              <w:r>
                <w:rPr>
                  <w:color w:val="0563C1"/>
                  <w:sz w:val="18"/>
                  <w:szCs w:val="18"/>
                  <w:u w:val="single"/>
                </w:rPr>
                <w:t>Springer</w:t>
              </w:r>
            </w:hyperlink>
          </w:p>
        </w:tc>
        <w:tc>
          <w:tcPr>
            <w:tcW w:w="618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A6" w14:textId="77777777" w:rsidR="00031725" w:rsidRDefault="00000000">
            <w:pPr>
              <w:spacing w:after="0"/>
              <w:rPr>
                <w:sz w:val="18"/>
                <w:szCs w:val="18"/>
              </w:rPr>
            </w:pPr>
            <w:r>
              <w:rPr>
                <w:sz w:val="18"/>
                <w:szCs w:val="18"/>
              </w:rPr>
              <w:t xml:space="preserve">Commercial publisher with experience implementing data repositories, referenced as a maintenance comparator. </w:t>
            </w:r>
          </w:p>
        </w:tc>
      </w:tr>
      <w:tr w:rsidR="00031725" w14:paraId="44E195D8" w14:textId="77777777">
        <w:trPr>
          <w:trHeight w:val="630"/>
        </w:trPr>
        <w:tc>
          <w:tcPr>
            <w:tcW w:w="2835"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A7" w14:textId="77777777" w:rsidR="00031725" w:rsidRDefault="00031725">
            <w:pPr>
              <w:spacing w:after="0"/>
              <w:rPr>
                <w:color w:val="0563C1"/>
                <w:sz w:val="18"/>
                <w:szCs w:val="18"/>
                <w:u w:val="single"/>
              </w:rPr>
            </w:pPr>
            <w:hyperlink r:id="rId217">
              <w:r>
                <w:rPr>
                  <w:color w:val="0563C1"/>
                  <w:sz w:val="18"/>
                  <w:szCs w:val="18"/>
                  <w:u w:val="single"/>
                </w:rPr>
                <w:t>Elsevier</w:t>
              </w:r>
            </w:hyperlink>
          </w:p>
        </w:tc>
        <w:tc>
          <w:tcPr>
            <w:tcW w:w="6180"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A8" w14:textId="77777777" w:rsidR="00031725" w:rsidRDefault="00000000">
            <w:pPr>
              <w:spacing w:after="0"/>
              <w:rPr>
                <w:sz w:val="18"/>
                <w:szCs w:val="18"/>
              </w:rPr>
            </w:pPr>
            <w:r>
              <w:rPr>
                <w:sz w:val="18"/>
                <w:szCs w:val="18"/>
              </w:rPr>
              <w:t xml:space="preserve">Commercial publisher with experience implementing data repositories, referenced as a maintenance comparator. </w:t>
            </w:r>
          </w:p>
        </w:tc>
      </w:tr>
      <w:tr w:rsidR="00031725" w14:paraId="1D3E5C3C" w14:textId="77777777">
        <w:trPr>
          <w:trHeight w:val="615"/>
        </w:trPr>
        <w:tc>
          <w:tcPr>
            <w:tcW w:w="283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A9" w14:textId="77777777" w:rsidR="00031725" w:rsidRDefault="00031725">
            <w:pPr>
              <w:spacing w:after="0"/>
              <w:rPr>
                <w:color w:val="0563C1"/>
                <w:sz w:val="18"/>
                <w:szCs w:val="18"/>
                <w:u w:val="single"/>
              </w:rPr>
            </w:pPr>
            <w:hyperlink r:id="rId218">
              <w:r>
                <w:rPr>
                  <w:color w:val="0563C1"/>
                  <w:sz w:val="18"/>
                  <w:szCs w:val="18"/>
                  <w:u w:val="single"/>
                </w:rPr>
                <w:t>MDPI</w:t>
              </w:r>
            </w:hyperlink>
          </w:p>
        </w:tc>
        <w:tc>
          <w:tcPr>
            <w:tcW w:w="618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AA" w14:textId="77777777" w:rsidR="00031725" w:rsidRDefault="00000000">
            <w:pPr>
              <w:spacing w:after="0"/>
              <w:rPr>
                <w:sz w:val="18"/>
                <w:szCs w:val="18"/>
              </w:rPr>
            </w:pPr>
            <w:r>
              <w:rPr>
                <w:sz w:val="18"/>
                <w:szCs w:val="18"/>
              </w:rPr>
              <w:t xml:space="preserve">Commercial publisher with experience implementing data repositories, referenced as a maintenance comparator. </w:t>
            </w:r>
          </w:p>
        </w:tc>
      </w:tr>
      <w:tr w:rsidR="00031725" w14:paraId="7C651853" w14:textId="77777777">
        <w:trPr>
          <w:trHeight w:val="630"/>
        </w:trPr>
        <w:tc>
          <w:tcPr>
            <w:tcW w:w="2835"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AB" w14:textId="77777777" w:rsidR="00031725" w:rsidRDefault="00031725">
            <w:pPr>
              <w:spacing w:after="0"/>
              <w:rPr>
                <w:color w:val="0563C1"/>
                <w:sz w:val="18"/>
                <w:szCs w:val="18"/>
                <w:u w:val="single"/>
              </w:rPr>
            </w:pPr>
            <w:hyperlink r:id="rId219">
              <w:r>
                <w:rPr>
                  <w:color w:val="0563C1"/>
                  <w:sz w:val="18"/>
                  <w:szCs w:val="18"/>
                  <w:u w:val="single"/>
                </w:rPr>
                <w:t>W3C</w:t>
              </w:r>
            </w:hyperlink>
          </w:p>
        </w:tc>
        <w:tc>
          <w:tcPr>
            <w:tcW w:w="6180"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AC" w14:textId="77777777" w:rsidR="00031725" w:rsidRDefault="00000000">
            <w:pPr>
              <w:spacing w:after="0"/>
              <w:rPr>
                <w:sz w:val="18"/>
                <w:szCs w:val="18"/>
              </w:rPr>
            </w:pPr>
            <w:r>
              <w:rPr>
                <w:sz w:val="18"/>
                <w:szCs w:val="18"/>
              </w:rPr>
              <w:t xml:space="preserve">Referenced as an example where retro-compatibility has been maintained between implementations and a specification. </w:t>
            </w:r>
          </w:p>
        </w:tc>
      </w:tr>
    </w:tbl>
    <w:p w14:paraId="000005AD" w14:textId="77777777" w:rsidR="00031725" w:rsidRDefault="00031725">
      <w:pPr>
        <w:rPr>
          <w:b/>
          <w:bCs/>
        </w:rPr>
      </w:pPr>
    </w:p>
    <w:p w14:paraId="000005AE" w14:textId="77777777" w:rsidR="00031725" w:rsidRDefault="00000000">
      <w:pPr>
        <w:rPr>
          <w:b/>
          <w:bCs/>
        </w:rPr>
      </w:pPr>
      <w:r>
        <w:rPr>
          <w:b/>
          <w:bCs/>
        </w:rPr>
        <w:t>Working Group Tools and Documentation</w:t>
      </w:r>
    </w:p>
    <w:tbl>
      <w:tblPr>
        <w:tblStyle w:val="af8"/>
        <w:tblW w:w="90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65"/>
        <w:gridCol w:w="6150"/>
      </w:tblGrid>
      <w:tr w:rsidR="00031725" w14:paraId="4D6320A3" w14:textId="77777777">
        <w:trPr>
          <w:trHeight w:val="405"/>
        </w:trPr>
        <w:tc>
          <w:tcPr>
            <w:tcW w:w="2865" w:type="dxa"/>
            <w:tcBorders>
              <w:top w:val="single" w:sz="5" w:space="0" w:color="005B52"/>
              <w:left w:val="single" w:sz="5" w:space="0" w:color="005B52"/>
              <w:bottom w:val="single" w:sz="5" w:space="0" w:color="005B52"/>
              <w:right w:val="single" w:sz="5" w:space="0" w:color="005B52"/>
            </w:tcBorders>
            <w:shd w:val="clear" w:color="auto" w:fill="0F6E56"/>
            <w:tcMar>
              <w:top w:w="80" w:type="dxa"/>
              <w:left w:w="120" w:type="dxa"/>
              <w:bottom w:w="80" w:type="dxa"/>
              <w:right w:w="120" w:type="dxa"/>
            </w:tcMar>
          </w:tcPr>
          <w:p w14:paraId="000005AF" w14:textId="77777777" w:rsidR="00031725" w:rsidRDefault="00000000">
            <w:pPr>
              <w:spacing w:after="0"/>
              <w:rPr>
                <w:b/>
                <w:bCs/>
                <w:color w:val="FFFFFF"/>
                <w:sz w:val="18"/>
                <w:szCs w:val="18"/>
              </w:rPr>
            </w:pPr>
            <w:r>
              <w:rPr>
                <w:b/>
                <w:bCs/>
                <w:color w:val="FFFFFF"/>
                <w:sz w:val="18"/>
                <w:szCs w:val="18"/>
              </w:rPr>
              <w:t>Resource (linked)</w:t>
            </w:r>
          </w:p>
        </w:tc>
        <w:tc>
          <w:tcPr>
            <w:tcW w:w="6150" w:type="dxa"/>
            <w:tcBorders>
              <w:top w:val="single" w:sz="5" w:space="0" w:color="005B52"/>
              <w:left w:val="single" w:sz="5" w:space="0" w:color="005B52"/>
              <w:bottom w:val="single" w:sz="5" w:space="0" w:color="005B52"/>
              <w:right w:val="single" w:sz="5" w:space="0" w:color="005B52"/>
            </w:tcBorders>
            <w:shd w:val="clear" w:color="auto" w:fill="0F6E56"/>
            <w:tcMar>
              <w:top w:w="80" w:type="dxa"/>
              <w:left w:w="120" w:type="dxa"/>
              <w:bottom w:w="80" w:type="dxa"/>
              <w:right w:w="120" w:type="dxa"/>
            </w:tcMar>
          </w:tcPr>
          <w:p w14:paraId="000005B0" w14:textId="77777777" w:rsidR="00031725" w:rsidRDefault="00000000">
            <w:pPr>
              <w:spacing w:after="0"/>
              <w:rPr>
                <w:b/>
                <w:bCs/>
                <w:color w:val="FFFFFF"/>
                <w:sz w:val="18"/>
                <w:szCs w:val="18"/>
              </w:rPr>
            </w:pPr>
            <w:r>
              <w:rPr>
                <w:b/>
                <w:bCs/>
                <w:color w:val="FFFFFF"/>
                <w:sz w:val="18"/>
                <w:szCs w:val="18"/>
              </w:rPr>
              <w:t>Description and source section</w:t>
            </w:r>
          </w:p>
        </w:tc>
      </w:tr>
      <w:tr w:rsidR="00031725" w14:paraId="6EE7EA0C" w14:textId="77777777">
        <w:trPr>
          <w:trHeight w:val="435"/>
        </w:trPr>
        <w:tc>
          <w:tcPr>
            <w:tcW w:w="286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B1" w14:textId="77777777" w:rsidR="00031725" w:rsidRDefault="00031725">
            <w:pPr>
              <w:spacing w:after="0"/>
              <w:rPr>
                <w:color w:val="0563C1"/>
                <w:sz w:val="18"/>
                <w:szCs w:val="18"/>
                <w:u w:val="single"/>
              </w:rPr>
            </w:pPr>
            <w:hyperlink r:id="rId220">
              <w:r>
                <w:rPr>
                  <w:color w:val="0563C1"/>
                  <w:sz w:val="18"/>
                  <w:szCs w:val="18"/>
                  <w:u w:val="single"/>
                </w:rPr>
                <w:t>Zoom</w:t>
              </w:r>
            </w:hyperlink>
          </w:p>
        </w:tc>
        <w:tc>
          <w:tcPr>
            <w:tcW w:w="615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B2" w14:textId="77777777" w:rsidR="00031725" w:rsidRDefault="00000000">
            <w:pPr>
              <w:spacing w:after="0"/>
              <w:rPr>
                <w:sz w:val="18"/>
                <w:szCs w:val="18"/>
              </w:rPr>
            </w:pPr>
            <w:r>
              <w:rPr>
                <w:sz w:val="18"/>
                <w:szCs w:val="18"/>
              </w:rPr>
              <w:t xml:space="preserve">Used to facilitate Working Group sessions across global time zones. </w:t>
            </w:r>
          </w:p>
        </w:tc>
      </w:tr>
      <w:tr w:rsidR="00031725" w14:paraId="520AD095" w14:textId="77777777">
        <w:trPr>
          <w:trHeight w:val="405"/>
        </w:trPr>
        <w:tc>
          <w:tcPr>
            <w:tcW w:w="2865"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B3" w14:textId="77777777" w:rsidR="00031725" w:rsidRDefault="00031725">
            <w:pPr>
              <w:spacing w:after="0"/>
              <w:rPr>
                <w:color w:val="0563C1"/>
                <w:sz w:val="18"/>
                <w:szCs w:val="18"/>
                <w:u w:val="single"/>
              </w:rPr>
            </w:pPr>
            <w:hyperlink r:id="rId221">
              <w:r>
                <w:rPr>
                  <w:color w:val="0563C1"/>
                  <w:sz w:val="18"/>
                  <w:szCs w:val="18"/>
                  <w:u w:val="single"/>
                </w:rPr>
                <w:t>Google Docs</w:t>
              </w:r>
            </w:hyperlink>
          </w:p>
        </w:tc>
        <w:tc>
          <w:tcPr>
            <w:tcW w:w="6150"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B4" w14:textId="77777777" w:rsidR="00031725" w:rsidRDefault="00000000">
            <w:pPr>
              <w:spacing w:after="0"/>
              <w:rPr>
                <w:sz w:val="18"/>
                <w:szCs w:val="18"/>
              </w:rPr>
            </w:pPr>
            <w:r>
              <w:rPr>
                <w:sz w:val="18"/>
                <w:szCs w:val="18"/>
              </w:rPr>
              <w:t>Used for collaborative session notes.</w:t>
            </w:r>
          </w:p>
        </w:tc>
      </w:tr>
      <w:tr w:rsidR="00031725" w14:paraId="03F0D87F" w14:textId="77777777">
        <w:trPr>
          <w:trHeight w:val="405"/>
        </w:trPr>
        <w:tc>
          <w:tcPr>
            <w:tcW w:w="286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B5" w14:textId="77777777" w:rsidR="00031725" w:rsidRDefault="00031725">
            <w:pPr>
              <w:spacing w:after="0"/>
              <w:rPr>
                <w:color w:val="0563C1"/>
                <w:sz w:val="18"/>
                <w:szCs w:val="18"/>
                <w:u w:val="single"/>
              </w:rPr>
            </w:pPr>
            <w:hyperlink r:id="rId222">
              <w:r>
                <w:rPr>
                  <w:color w:val="0563C1"/>
                  <w:sz w:val="18"/>
                  <w:szCs w:val="18"/>
                  <w:u w:val="single"/>
                </w:rPr>
                <w:t>Draw.io</w:t>
              </w:r>
            </w:hyperlink>
          </w:p>
        </w:tc>
        <w:tc>
          <w:tcPr>
            <w:tcW w:w="615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B6" w14:textId="77777777" w:rsidR="00031725" w:rsidRDefault="00000000">
            <w:pPr>
              <w:spacing w:after="0"/>
              <w:rPr>
                <w:sz w:val="18"/>
                <w:szCs w:val="18"/>
              </w:rPr>
            </w:pPr>
            <w:r>
              <w:rPr>
                <w:sz w:val="18"/>
                <w:szCs w:val="18"/>
              </w:rPr>
              <w:t xml:space="preserve">Used for collaborative diagramming. </w:t>
            </w:r>
          </w:p>
        </w:tc>
      </w:tr>
      <w:tr w:rsidR="00031725" w14:paraId="49AE36FC" w14:textId="77777777">
        <w:trPr>
          <w:trHeight w:val="645"/>
        </w:trPr>
        <w:tc>
          <w:tcPr>
            <w:tcW w:w="2865"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B7" w14:textId="77777777" w:rsidR="00031725" w:rsidRDefault="00031725">
            <w:pPr>
              <w:spacing w:after="0"/>
              <w:rPr>
                <w:color w:val="0563C1"/>
                <w:sz w:val="18"/>
                <w:szCs w:val="18"/>
                <w:u w:val="single"/>
              </w:rPr>
            </w:pPr>
            <w:hyperlink r:id="rId223">
              <w:r>
                <w:rPr>
                  <w:color w:val="0563C1"/>
                  <w:sz w:val="18"/>
                  <w:szCs w:val="18"/>
                  <w:u w:val="single"/>
                </w:rPr>
                <w:t>Miro</w:t>
              </w:r>
            </w:hyperlink>
          </w:p>
        </w:tc>
        <w:tc>
          <w:tcPr>
            <w:tcW w:w="6150"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B8" w14:textId="77777777" w:rsidR="00031725" w:rsidRDefault="00000000">
            <w:pPr>
              <w:spacing w:after="0"/>
              <w:rPr>
                <w:sz w:val="18"/>
                <w:szCs w:val="18"/>
              </w:rPr>
            </w:pPr>
            <w:r>
              <w:rPr>
                <w:sz w:val="18"/>
                <w:szCs w:val="18"/>
              </w:rPr>
              <w:t>Used for collaborative working and generating process flow and architecture diagrams.</w:t>
            </w:r>
          </w:p>
        </w:tc>
      </w:tr>
      <w:tr w:rsidR="00031725" w14:paraId="3B8039E3" w14:textId="77777777">
        <w:trPr>
          <w:trHeight w:val="585"/>
        </w:trPr>
        <w:tc>
          <w:tcPr>
            <w:tcW w:w="2865"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B9" w14:textId="77777777" w:rsidR="00031725" w:rsidRDefault="00031725">
            <w:pPr>
              <w:spacing w:after="0"/>
              <w:rPr>
                <w:color w:val="0563C1"/>
                <w:sz w:val="18"/>
                <w:szCs w:val="18"/>
                <w:u w:val="single"/>
              </w:rPr>
            </w:pPr>
            <w:hyperlink r:id="rId224">
              <w:r>
                <w:rPr>
                  <w:color w:val="0563C1"/>
                  <w:sz w:val="18"/>
                  <w:szCs w:val="18"/>
                  <w:u w:val="single"/>
                </w:rPr>
                <w:t>Claude.ai</w:t>
              </w:r>
            </w:hyperlink>
          </w:p>
        </w:tc>
        <w:tc>
          <w:tcPr>
            <w:tcW w:w="6150" w:type="dxa"/>
            <w:tcBorders>
              <w:top w:val="single" w:sz="5" w:space="0" w:color="005B52"/>
              <w:left w:val="single" w:sz="5" w:space="0" w:color="005B52"/>
              <w:bottom w:val="single" w:sz="5" w:space="0" w:color="005B52"/>
              <w:right w:val="single" w:sz="5" w:space="0" w:color="005B52"/>
            </w:tcBorders>
            <w:shd w:val="clear" w:color="auto" w:fill="FFFFFF"/>
            <w:tcMar>
              <w:top w:w="80" w:type="dxa"/>
              <w:left w:w="120" w:type="dxa"/>
              <w:bottom w:w="80" w:type="dxa"/>
              <w:right w:w="120" w:type="dxa"/>
            </w:tcMar>
          </w:tcPr>
          <w:p w14:paraId="000005BA" w14:textId="77777777" w:rsidR="00031725" w:rsidRDefault="00000000">
            <w:pPr>
              <w:spacing w:after="0"/>
              <w:rPr>
                <w:sz w:val="18"/>
                <w:szCs w:val="18"/>
              </w:rPr>
            </w:pPr>
            <w:r>
              <w:rPr>
                <w:sz w:val="18"/>
                <w:szCs w:val="18"/>
              </w:rPr>
              <w:t xml:space="preserve">Used to generate final process flow images, with Claude Sonnet 4.5 (Pro) used for data analysis and writing assistance throughout. </w:t>
            </w:r>
          </w:p>
        </w:tc>
      </w:tr>
      <w:tr w:rsidR="00031725" w14:paraId="41399939" w14:textId="77777777">
        <w:trPr>
          <w:trHeight w:val="645"/>
        </w:trPr>
        <w:tc>
          <w:tcPr>
            <w:tcW w:w="2865"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BB" w14:textId="77777777" w:rsidR="00031725" w:rsidRDefault="00031725">
            <w:pPr>
              <w:spacing w:after="0"/>
              <w:rPr>
                <w:color w:val="0563C1"/>
                <w:sz w:val="18"/>
                <w:szCs w:val="18"/>
                <w:u w:val="single"/>
              </w:rPr>
            </w:pPr>
            <w:hyperlink r:id="rId225">
              <w:r>
                <w:rPr>
                  <w:color w:val="0563C1"/>
                  <w:sz w:val="18"/>
                  <w:szCs w:val="18"/>
                  <w:u w:val="single"/>
                </w:rPr>
                <w:t>learn.microsoft.com</w:t>
              </w:r>
            </w:hyperlink>
          </w:p>
        </w:tc>
        <w:tc>
          <w:tcPr>
            <w:tcW w:w="6150" w:type="dxa"/>
            <w:tcBorders>
              <w:top w:val="single" w:sz="5" w:space="0" w:color="005B52"/>
              <w:left w:val="single" w:sz="5" w:space="0" w:color="005B52"/>
              <w:bottom w:val="single" w:sz="5" w:space="0" w:color="005B52"/>
              <w:right w:val="single" w:sz="5" w:space="0" w:color="005B52"/>
            </w:tcBorders>
            <w:shd w:val="clear" w:color="auto" w:fill="EAF4F1"/>
            <w:tcMar>
              <w:top w:w="80" w:type="dxa"/>
              <w:left w:w="120" w:type="dxa"/>
              <w:bottom w:w="80" w:type="dxa"/>
              <w:right w:w="120" w:type="dxa"/>
            </w:tcMar>
          </w:tcPr>
          <w:p w14:paraId="000005BC" w14:textId="77777777" w:rsidR="00031725" w:rsidRDefault="00000000">
            <w:pPr>
              <w:spacing w:after="0"/>
              <w:rPr>
                <w:sz w:val="18"/>
                <w:szCs w:val="18"/>
              </w:rPr>
            </w:pPr>
            <w:r>
              <w:rPr>
                <w:sz w:val="18"/>
                <w:szCs w:val="18"/>
              </w:rPr>
              <w:t xml:space="preserve">Referenced as a documentation style example for institutional onboarding materials. </w:t>
            </w:r>
          </w:p>
        </w:tc>
      </w:tr>
    </w:tbl>
    <w:p w14:paraId="368C17F8" w14:textId="77777777" w:rsidR="00895C8C" w:rsidRDefault="00895C8C" w:rsidP="001C265D"/>
    <w:p w14:paraId="2EE83B8C" w14:textId="77777777" w:rsidR="001C265D" w:rsidRDefault="001C265D" w:rsidP="001C265D"/>
    <w:p w14:paraId="35967BF8" w14:textId="77777777" w:rsidR="001C265D" w:rsidRDefault="001C265D" w:rsidP="001C265D"/>
    <w:p w14:paraId="000005BD" w14:textId="68F5B7BB" w:rsidR="00031725" w:rsidRDefault="00000000">
      <w:pPr>
        <w:pStyle w:val="Heading2"/>
      </w:pPr>
      <w:bookmarkStart w:id="69" w:name="_Toc233654435"/>
      <w:bookmarkStart w:id="70" w:name="_Appendix_C:_Acknowledgements"/>
      <w:bookmarkEnd w:id="70"/>
      <w:r>
        <w:lastRenderedPageBreak/>
        <w:t>Appendix C:</w:t>
      </w:r>
      <w:r w:rsidR="008253CE">
        <w:t xml:space="preserve"> </w:t>
      </w:r>
      <w:r>
        <w:t>Acknowledgements</w:t>
      </w:r>
      <w:bookmarkEnd w:id="69"/>
      <w:r>
        <w:t xml:space="preserve"> </w:t>
      </w:r>
    </w:p>
    <w:p w14:paraId="750BBC9B" w14:textId="452C9930" w:rsidR="00200CC3" w:rsidRPr="00200CC3" w:rsidRDefault="00200CC3" w:rsidP="00200CC3">
      <w:pPr>
        <w:rPr>
          <w:color w:val="000000" w:themeColor="text1"/>
        </w:rPr>
      </w:pPr>
      <w:r w:rsidRPr="00200CC3">
        <w:rPr>
          <w:color w:val="000000" w:themeColor="text1"/>
        </w:rPr>
        <w:t>First and foremost, thank you to all the active members of the working group for their dedication and commitment to the programme over the eight</w:t>
      </w:r>
      <w:r>
        <w:rPr>
          <w:color w:val="000000" w:themeColor="text1"/>
        </w:rPr>
        <w:t>-</w:t>
      </w:r>
      <w:r w:rsidRPr="00200CC3">
        <w:rPr>
          <w:color w:val="000000" w:themeColor="text1"/>
        </w:rPr>
        <w:t>week period (April - June 2026). Thank you for attending the many sessions held at different times across the globe, spanning different regions and time zones, and for your openness, willingness, and enthusiasm to share knowledge each week. It is this collective effort that has led to the generation of such breadth and depth of content, culminating in this comprehensive draft Blueprint.</w:t>
      </w:r>
    </w:p>
    <w:p w14:paraId="129F32E8" w14:textId="4195CF77" w:rsidR="00200CC3" w:rsidRPr="00200CC3" w:rsidRDefault="00200CC3" w:rsidP="00200CC3">
      <w:pPr>
        <w:rPr>
          <w:color w:val="000000" w:themeColor="text1"/>
        </w:rPr>
      </w:pPr>
      <w:r w:rsidRPr="00200CC3">
        <w:rPr>
          <w:color w:val="000000" w:themeColor="text1"/>
        </w:rPr>
        <w:t>Special thanks to Connie Clare, RDA Community Development Manager and facilitator of the working group for her passion, drive and dedication to this activity. Much gratitude to Hilary Hanahoe (RDA Secretary General) and Marcy Collinson (Director, Worldwide Academic Research at Microsoft) for bringing this public-private partnership between RDA and Microsoft to fruition, and to the software engineers Benjamin Wright-Jones and George Earl for always being on hand to support the planning and execution of the sessions. Their time, expertise, and effort, particularly in developing the reference architecture in Section 9 has been invaluable. Grateful thanks also extend to Trish Radotic (RDA Secretariat) for serving as a sounding board and providing logistical support throughout the process.</w:t>
      </w:r>
    </w:p>
    <w:p w14:paraId="000005C0" w14:textId="77777777" w:rsidR="00031725" w:rsidRDefault="00000000">
      <w:pPr>
        <w:pStyle w:val="Heading3"/>
      </w:pPr>
      <w:bookmarkStart w:id="71" w:name="_Toc233654436"/>
      <w:r>
        <w:t>Blueprint Authors</w:t>
      </w:r>
      <w:bookmarkEnd w:id="71"/>
    </w:p>
    <w:p w14:paraId="000005C1" w14:textId="69C764A1" w:rsidR="00031725" w:rsidRDefault="00000000">
      <w:pPr>
        <w:rPr>
          <w:b/>
          <w:bCs/>
        </w:rPr>
      </w:pPr>
      <w:r>
        <w:t xml:space="preserve">As of June 2026, the </w:t>
      </w:r>
      <w:hyperlink r:id="rId226">
        <w:r w:rsidR="00031725">
          <w:rPr>
            <w:color w:val="1155CC"/>
            <w:u w:val="single"/>
          </w:rPr>
          <w:t>Data Director Agentic AI Blueprint Working Group</w:t>
        </w:r>
      </w:hyperlink>
      <w:r>
        <w:t xml:space="preserve"> comprises 94 members. A significant number of these individuals have actively contributed to the development of this Blueprint by attending sessions, participating in discussions, and collaboratively developing the Blueprint through shared notes, Miro boards, and direct editorial contributions.</w:t>
      </w:r>
    </w:p>
    <w:tbl>
      <w:tblPr>
        <w:tblStyle w:val="af9"/>
        <w:tblW w:w="91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35"/>
        <w:gridCol w:w="1065"/>
        <w:gridCol w:w="1320"/>
        <w:gridCol w:w="1785"/>
        <w:gridCol w:w="2295"/>
        <w:gridCol w:w="1260"/>
        <w:gridCol w:w="1035"/>
      </w:tblGrid>
      <w:tr w:rsidR="00031725" w14:paraId="59B7FECA" w14:textId="77777777">
        <w:trPr>
          <w:trHeight w:val="315"/>
        </w:trPr>
        <w:tc>
          <w:tcPr>
            <w:tcW w:w="435" w:type="dxa"/>
            <w:tcBorders>
              <w:top w:val="single" w:sz="5" w:space="0" w:color="CCCCCC"/>
              <w:left w:val="single" w:sz="5" w:space="0" w:color="CCCCCC"/>
              <w:bottom w:val="single" w:sz="5" w:space="0" w:color="CCCCCC"/>
              <w:right w:val="single" w:sz="5" w:space="0" w:color="CCCCCC"/>
            </w:tcBorders>
            <w:shd w:val="clear" w:color="auto" w:fill="005B52"/>
            <w:tcMar>
              <w:top w:w="40" w:type="dxa"/>
              <w:left w:w="40" w:type="dxa"/>
              <w:bottom w:w="40" w:type="dxa"/>
              <w:right w:w="40" w:type="dxa"/>
            </w:tcMar>
            <w:vAlign w:val="center"/>
          </w:tcPr>
          <w:p w14:paraId="000005C2" w14:textId="77777777" w:rsidR="00031725" w:rsidRDefault="00000000">
            <w:pPr>
              <w:spacing w:after="0" w:line="240" w:lineRule="auto"/>
              <w:jc w:val="center"/>
              <w:rPr>
                <w:b/>
                <w:bCs/>
                <w:color w:val="FFFFFF"/>
                <w:sz w:val="16"/>
                <w:szCs w:val="16"/>
              </w:rPr>
            </w:pPr>
            <w:r>
              <w:rPr>
                <w:b/>
                <w:bCs/>
                <w:color w:val="FFFFFF"/>
                <w:sz w:val="16"/>
                <w:szCs w:val="16"/>
              </w:rPr>
              <w:t>No.</w:t>
            </w:r>
          </w:p>
        </w:tc>
        <w:tc>
          <w:tcPr>
            <w:tcW w:w="1065" w:type="dxa"/>
            <w:tcBorders>
              <w:top w:val="single" w:sz="5" w:space="0" w:color="CCCCCC"/>
              <w:left w:val="single" w:sz="5" w:space="0" w:color="CCCCCC"/>
              <w:bottom w:val="single" w:sz="5" w:space="0" w:color="CCCCCC"/>
              <w:right w:val="single" w:sz="5" w:space="0" w:color="CCCCCC"/>
            </w:tcBorders>
            <w:shd w:val="clear" w:color="auto" w:fill="005B52"/>
            <w:tcMar>
              <w:top w:w="40" w:type="dxa"/>
              <w:left w:w="40" w:type="dxa"/>
              <w:bottom w:w="40" w:type="dxa"/>
              <w:right w:w="40" w:type="dxa"/>
            </w:tcMar>
            <w:vAlign w:val="center"/>
          </w:tcPr>
          <w:p w14:paraId="000005C3" w14:textId="77777777" w:rsidR="00031725" w:rsidRDefault="00000000">
            <w:pPr>
              <w:spacing w:after="0" w:line="240" w:lineRule="auto"/>
              <w:rPr>
                <w:b/>
                <w:bCs/>
                <w:color w:val="FFFFFF"/>
                <w:sz w:val="16"/>
                <w:szCs w:val="16"/>
              </w:rPr>
            </w:pPr>
            <w:r>
              <w:rPr>
                <w:b/>
                <w:bCs/>
                <w:color w:val="FFFFFF"/>
                <w:sz w:val="16"/>
                <w:szCs w:val="16"/>
              </w:rPr>
              <w:t>First Name</w:t>
            </w:r>
          </w:p>
        </w:tc>
        <w:tc>
          <w:tcPr>
            <w:tcW w:w="1320" w:type="dxa"/>
            <w:tcBorders>
              <w:top w:val="single" w:sz="5" w:space="0" w:color="CCCCCC"/>
              <w:left w:val="single" w:sz="5" w:space="0" w:color="CCCCCC"/>
              <w:bottom w:val="single" w:sz="5" w:space="0" w:color="CCCCCC"/>
              <w:right w:val="single" w:sz="5" w:space="0" w:color="CCCCCC"/>
            </w:tcBorders>
            <w:shd w:val="clear" w:color="auto" w:fill="005B52"/>
            <w:tcMar>
              <w:top w:w="40" w:type="dxa"/>
              <w:left w:w="40" w:type="dxa"/>
              <w:bottom w:w="40" w:type="dxa"/>
              <w:right w:w="40" w:type="dxa"/>
            </w:tcMar>
            <w:vAlign w:val="center"/>
          </w:tcPr>
          <w:p w14:paraId="000005C4" w14:textId="77777777" w:rsidR="00031725" w:rsidRDefault="00000000">
            <w:pPr>
              <w:spacing w:after="0" w:line="240" w:lineRule="auto"/>
              <w:rPr>
                <w:b/>
                <w:bCs/>
                <w:color w:val="FFFFFF"/>
                <w:sz w:val="16"/>
                <w:szCs w:val="16"/>
              </w:rPr>
            </w:pPr>
            <w:r>
              <w:rPr>
                <w:b/>
                <w:bCs/>
                <w:color w:val="FFFFFF"/>
                <w:sz w:val="16"/>
                <w:szCs w:val="16"/>
              </w:rPr>
              <w:t>Last Name</w:t>
            </w:r>
          </w:p>
        </w:tc>
        <w:tc>
          <w:tcPr>
            <w:tcW w:w="1785" w:type="dxa"/>
            <w:tcBorders>
              <w:top w:val="single" w:sz="5" w:space="0" w:color="CCCCCC"/>
              <w:left w:val="single" w:sz="5" w:space="0" w:color="CCCCCC"/>
              <w:bottom w:val="single" w:sz="5" w:space="0" w:color="CCCCCC"/>
              <w:right w:val="single" w:sz="5" w:space="0" w:color="CCCCCC"/>
            </w:tcBorders>
            <w:shd w:val="clear" w:color="auto" w:fill="005B52"/>
            <w:tcMar>
              <w:top w:w="40" w:type="dxa"/>
              <w:left w:w="40" w:type="dxa"/>
              <w:bottom w:w="40" w:type="dxa"/>
              <w:right w:w="40" w:type="dxa"/>
            </w:tcMar>
            <w:vAlign w:val="center"/>
          </w:tcPr>
          <w:p w14:paraId="000005C5" w14:textId="77777777" w:rsidR="00031725" w:rsidRDefault="00000000">
            <w:pPr>
              <w:spacing w:after="0" w:line="240" w:lineRule="auto"/>
              <w:rPr>
                <w:b/>
                <w:bCs/>
                <w:color w:val="FFFFFF"/>
                <w:sz w:val="16"/>
                <w:szCs w:val="16"/>
              </w:rPr>
            </w:pPr>
            <w:r>
              <w:rPr>
                <w:b/>
                <w:bCs/>
                <w:color w:val="FFFFFF"/>
                <w:sz w:val="16"/>
                <w:szCs w:val="16"/>
              </w:rPr>
              <w:t>Role</w:t>
            </w:r>
          </w:p>
        </w:tc>
        <w:tc>
          <w:tcPr>
            <w:tcW w:w="2295" w:type="dxa"/>
            <w:tcBorders>
              <w:top w:val="single" w:sz="5" w:space="0" w:color="CCCCCC"/>
              <w:left w:val="single" w:sz="5" w:space="0" w:color="CCCCCC"/>
              <w:bottom w:val="single" w:sz="5" w:space="0" w:color="CCCCCC"/>
              <w:right w:val="single" w:sz="5" w:space="0" w:color="CCCCCC"/>
            </w:tcBorders>
            <w:shd w:val="clear" w:color="auto" w:fill="005B52"/>
            <w:tcMar>
              <w:top w:w="40" w:type="dxa"/>
              <w:left w:w="40" w:type="dxa"/>
              <w:bottom w:w="40" w:type="dxa"/>
              <w:right w:w="40" w:type="dxa"/>
            </w:tcMar>
            <w:vAlign w:val="center"/>
          </w:tcPr>
          <w:p w14:paraId="000005C6" w14:textId="77777777" w:rsidR="00031725" w:rsidRDefault="00000000">
            <w:pPr>
              <w:spacing w:after="0" w:line="240" w:lineRule="auto"/>
              <w:rPr>
                <w:b/>
                <w:bCs/>
                <w:color w:val="FFFFFF"/>
                <w:sz w:val="16"/>
                <w:szCs w:val="16"/>
              </w:rPr>
            </w:pPr>
            <w:r>
              <w:rPr>
                <w:b/>
                <w:bCs/>
                <w:color w:val="FFFFFF"/>
                <w:sz w:val="16"/>
                <w:szCs w:val="16"/>
              </w:rPr>
              <w:t>Affiliation</w:t>
            </w:r>
          </w:p>
        </w:tc>
        <w:tc>
          <w:tcPr>
            <w:tcW w:w="1260" w:type="dxa"/>
            <w:tcBorders>
              <w:top w:val="single" w:sz="5" w:space="0" w:color="CCCCCC"/>
              <w:left w:val="single" w:sz="5" w:space="0" w:color="CCCCCC"/>
              <w:bottom w:val="single" w:sz="5" w:space="0" w:color="CCCCCC"/>
              <w:right w:val="single" w:sz="5" w:space="0" w:color="CCCCCC"/>
            </w:tcBorders>
            <w:shd w:val="clear" w:color="auto" w:fill="005B52"/>
            <w:tcMar>
              <w:top w:w="40" w:type="dxa"/>
              <w:left w:w="40" w:type="dxa"/>
              <w:bottom w:w="40" w:type="dxa"/>
              <w:right w:w="40" w:type="dxa"/>
            </w:tcMar>
            <w:vAlign w:val="center"/>
          </w:tcPr>
          <w:p w14:paraId="000005C7" w14:textId="77777777" w:rsidR="00031725" w:rsidRDefault="00000000">
            <w:pPr>
              <w:spacing w:after="0" w:line="240" w:lineRule="auto"/>
              <w:rPr>
                <w:b/>
                <w:bCs/>
                <w:color w:val="FFFFFF"/>
                <w:sz w:val="16"/>
                <w:szCs w:val="16"/>
              </w:rPr>
            </w:pPr>
            <w:r>
              <w:rPr>
                <w:b/>
                <w:bCs/>
                <w:color w:val="FFFFFF"/>
                <w:sz w:val="16"/>
                <w:szCs w:val="16"/>
              </w:rPr>
              <w:t>Country</w:t>
            </w:r>
          </w:p>
        </w:tc>
        <w:tc>
          <w:tcPr>
            <w:tcW w:w="1035" w:type="dxa"/>
            <w:tcBorders>
              <w:top w:val="single" w:sz="5" w:space="0" w:color="CCCCCC"/>
              <w:left w:val="single" w:sz="5" w:space="0" w:color="CCCCCC"/>
              <w:bottom w:val="single" w:sz="5" w:space="0" w:color="CCCCCC"/>
              <w:right w:val="single" w:sz="5" w:space="0" w:color="CCCCCC"/>
            </w:tcBorders>
            <w:shd w:val="clear" w:color="auto" w:fill="005B52"/>
            <w:tcMar>
              <w:top w:w="40" w:type="dxa"/>
              <w:left w:w="40" w:type="dxa"/>
              <w:bottom w:w="40" w:type="dxa"/>
              <w:right w:w="40" w:type="dxa"/>
            </w:tcMar>
            <w:vAlign w:val="center"/>
          </w:tcPr>
          <w:p w14:paraId="000005C8" w14:textId="77777777" w:rsidR="00031725" w:rsidRDefault="00000000">
            <w:pPr>
              <w:spacing w:after="0" w:line="240" w:lineRule="auto"/>
              <w:rPr>
                <w:b/>
                <w:bCs/>
                <w:color w:val="FFFFFF"/>
                <w:sz w:val="16"/>
                <w:szCs w:val="16"/>
              </w:rPr>
            </w:pPr>
            <w:r>
              <w:rPr>
                <w:b/>
                <w:bCs/>
                <w:color w:val="FFFFFF"/>
                <w:sz w:val="16"/>
                <w:szCs w:val="16"/>
              </w:rPr>
              <w:t>ORCID</w:t>
            </w:r>
          </w:p>
        </w:tc>
      </w:tr>
      <w:tr w:rsidR="00031725" w14:paraId="02B6787C" w14:textId="77777777">
        <w:trPr>
          <w:trHeight w:val="369"/>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5C9" w14:textId="77777777" w:rsidR="00031725" w:rsidRDefault="00000000">
            <w:pPr>
              <w:spacing w:after="0" w:line="240" w:lineRule="auto"/>
              <w:jc w:val="center"/>
              <w:rPr>
                <w:sz w:val="16"/>
                <w:szCs w:val="16"/>
              </w:rPr>
            </w:pPr>
            <w:r>
              <w:rPr>
                <w:sz w:val="16"/>
                <w:szCs w:val="16"/>
              </w:rPr>
              <w:t>1</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5CA" w14:textId="77777777" w:rsidR="00031725" w:rsidRDefault="00000000">
            <w:pPr>
              <w:spacing w:after="0" w:line="240" w:lineRule="auto"/>
              <w:rPr>
                <w:sz w:val="16"/>
                <w:szCs w:val="16"/>
              </w:rPr>
            </w:pPr>
            <w:r>
              <w:rPr>
                <w:sz w:val="16"/>
                <w:szCs w:val="16"/>
              </w:rPr>
              <w:t>Maricela</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5CB" w14:textId="77777777" w:rsidR="00031725" w:rsidRDefault="00000000">
            <w:pPr>
              <w:spacing w:after="0" w:line="240" w:lineRule="auto"/>
              <w:rPr>
                <w:sz w:val="16"/>
                <w:szCs w:val="16"/>
              </w:rPr>
            </w:pPr>
            <w:r>
              <w:rPr>
                <w:sz w:val="16"/>
                <w:szCs w:val="16"/>
              </w:rPr>
              <w:t>Abarca</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5CC" w14:textId="77777777" w:rsidR="00031725" w:rsidRDefault="00000000">
            <w:pPr>
              <w:spacing w:after="0" w:line="240" w:lineRule="auto"/>
              <w:rPr>
                <w:sz w:val="16"/>
                <w:szCs w:val="16"/>
              </w:rPr>
            </w:pPr>
            <w:r>
              <w:rPr>
                <w:sz w:val="16"/>
                <w:szCs w:val="16"/>
              </w:rPr>
              <w:t>Data Curator</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5CD" w14:textId="77777777" w:rsidR="00031725" w:rsidRDefault="00000000">
            <w:pPr>
              <w:spacing w:after="0" w:line="240" w:lineRule="auto"/>
              <w:rPr>
                <w:sz w:val="16"/>
                <w:szCs w:val="16"/>
              </w:rPr>
            </w:pPr>
            <w:r>
              <w:rPr>
                <w:sz w:val="16"/>
                <w:szCs w:val="16"/>
              </w:rPr>
              <w:t>Stanford University Libraries</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5CE" w14:textId="77777777" w:rsidR="00031725" w:rsidRDefault="00000000">
            <w:pPr>
              <w:spacing w:after="0" w:line="240" w:lineRule="auto"/>
              <w:rPr>
                <w:sz w:val="16"/>
                <w:szCs w:val="16"/>
              </w:rPr>
            </w:pPr>
            <w:r>
              <w:rPr>
                <w:sz w:val="16"/>
                <w:szCs w:val="16"/>
              </w:rPr>
              <w:t>United States</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5CF" w14:textId="77777777" w:rsidR="00031725" w:rsidRDefault="00031725">
            <w:pPr>
              <w:spacing w:after="0" w:line="240" w:lineRule="auto"/>
              <w:rPr>
                <w:sz w:val="16"/>
                <w:szCs w:val="16"/>
              </w:rPr>
            </w:pPr>
            <w:hyperlink r:id="rId227">
              <w:r>
                <w:rPr>
                  <w:color w:val="1155CC"/>
                  <w:sz w:val="16"/>
                  <w:szCs w:val="16"/>
                  <w:u w:val="single"/>
                </w:rPr>
                <w:t>0000-0002-0890-8887</w:t>
              </w:r>
            </w:hyperlink>
          </w:p>
        </w:tc>
      </w:tr>
      <w:tr w:rsidR="00031725" w14:paraId="2D38CC25"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5D0" w14:textId="77777777" w:rsidR="00031725" w:rsidRDefault="00000000">
            <w:pPr>
              <w:spacing w:after="0" w:line="240" w:lineRule="auto"/>
              <w:jc w:val="center"/>
              <w:rPr>
                <w:sz w:val="16"/>
                <w:szCs w:val="16"/>
              </w:rPr>
            </w:pPr>
            <w:r>
              <w:rPr>
                <w:sz w:val="16"/>
                <w:szCs w:val="16"/>
              </w:rPr>
              <w:t>2</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5D1" w14:textId="77777777" w:rsidR="00031725" w:rsidRDefault="00000000">
            <w:pPr>
              <w:spacing w:after="0" w:line="240" w:lineRule="auto"/>
              <w:rPr>
                <w:sz w:val="16"/>
                <w:szCs w:val="16"/>
              </w:rPr>
            </w:pPr>
            <w:r>
              <w:rPr>
                <w:sz w:val="16"/>
                <w:szCs w:val="16"/>
              </w:rPr>
              <w:t>Lindsey</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5D2" w14:textId="77777777" w:rsidR="00031725" w:rsidRDefault="00000000">
            <w:pPr>
              <w:spacing w:after="0" w:line="240" w:lineRule="auto"/>
              <w:rPr>
                <w:sz w:val="16"/>
                <w:szCs w:val="16"/>
              </w:rPr>
            </w:pPr>
            <w:r>
              <w:rPr>
                <w:sz w:val="16"/>
                <w:szCs w:val="16"/>
              </w:rPr>
              <w:t>Anderson</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5D3" w14:textId="77777777" w:rsidR="00031725" w:rsidRDefault="00000000">
            <w:pPr>
              <w:spacing w:after="0" w:line="240" w:lineRule="auto"/>
              <w:rPr>
                <w:sz w:val="16"/>
                <w:szCs w:val="16"/>
              </w:rPr>
            </w:pPr>
            <w:r>
              <w:rPr>
                <w:sz w:val="16"/>
                <w:szCs w:val="16"/>
              </w:rPr>
              <w:t>Computational Scientist</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5D4" w14:textId="77777777" w:rsidR="00031725" w:rsidRDefault="00000000">
            <w:pPr>
              <w:spacing w:after="0" w:line="240" w:lineRule="auto"/>
              <w:rPr>
                <w:sz w:val="16"/>
                <w:szCs w:val="16"/>
              </w:rPr>
            </w:pPr>
            <w:r>
              <w:rPr>
                <w:sz w:val="16"/>
                <w:szCs w:val="16"/>
              </w:rPr>
              <w:t>Pacific Northwest National Laboratory (PNNL)</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5D5" w14:textId="77777777" w:rsidR="00031725" w:rsidRDefault="00000000">
            <w:pPr>
              <w:spacing w:after="0" w:line="240" w:lineRule="auto"/>
              <w:rPr>
                <w:sz w:val="16"/>
                <w:szCs w:val="16"/>
              </w:rPr>
            </w:pPr>
            <w:r>
              <w:rPr>
                <w:sz w:val="16"/>
                <w:szCs w:val="16"/>
              </w:rPr>
              <w:t>United States</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5D6" w14:textId="77777777" w:rsidR="00031725" w:rsidRDefault="00031725">
            <w:pPr>
              <w:spacing w:after="0" w:line="240" w:lineRule="auto"/>
              <w:rPr>
                <w:sz w:val="16"/>
                <w:szCs w:val="16"/>
              </w:rPr>
            </w:pPr>
            <w:hyperlink r:id="rId228">
              <w:r>
                <w:rPr>
                  <w:color w:val="1155CC"/>
                  <w:sz w:val="16"/>
                  <w:szCs w:val="16"/>
                  <w:u w:val="single"/>
                </w:rPr>
                <w:t>0000-0002-8741-7823</w:t>
              </w:r>
            </w:hyperlink>
          </w:p>
        </w:tc>
      </w:tr>
      <w:tr w:rsidR="00031725" w14:paraId="76FC6987"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5D7" w14:textId="77777777" w:rsidR="00031725" w:rsidRDefault="00000000">
            <w:pPr>
              <w:spacing w:after="0" w:line="240" w:lineRule="auto"/>
              <w:jc w:val="center"/>
              <w:rPr>
                <w:sz w:val="16"/>
                <w:szCs w:val="16"/>
              </w:rPr>
            </w:pPr>
            <w:r>
              <w:rPr>
                <w:sz w:val="16"/>
                <w:szCs w:val="16"/>
              </w:rPr>
              <w:t>3</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5D8" w14:textId="77777777" w:rsidR="00031725" w:rsidRDefault="00000000">
            <w:pPr>
              <w:spacing w:after="0" w:line="240" w:lineRule="auto"/>
              <w:rPr>
                <w:sz w:val="16"/>
                <w:szCs w:val="16"/>
              </w:rPr>
            </w:pPr>
            <w:r>
              <w:rPr>
                <w:sz w:val="16"/>
                <w:szCs w:val="16"/>
              </w:rPr>
              <w:t>Julieta</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5D9" w14:textId="77777777" w:rsidR="00031725" w:rsidRDefault="00000000">
            <w:pPr>
              <w:spacing w:after="0" w:line="240" w:lineRule="auto"/>
              <w:rPr>
                <w:sz w:val="16"/>
                <w:szCs w:val="16"/>
              </w:rPr>
            </w:pPr>
            <w:r>
              <w:rPr>
                <w:sz w:val="16"/>
                <w:szCs w:val="16"/>
              </w:rPr>
              <w:t>Arancio</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5DA" w14:textId="77777777" w:rsidR="00031725" w:rsidRDefault="00000000">
            <w:pPr>
              <w:spacing w:after="0" w:line="240" w:lineRule="auto"/>
              <w:rPr>
                <w:sz w:val="16"/>
                <w:szCs w:val="16"/>
              </w:rPr>
            </w:pPr>
            <w:r>
              <w:rPr>
                <w:sz w:val="16"/>
                <w:szCs w:val="16"/>
              </w:rPr>
              <w:t>Senior Advisor</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5DB" w14:textId="77777777" w:rsidR="00031725" w:rsidRDefault="00000000">
            <w:pPr>
              <w:spacing w:after="0" w:line="240" w:lineRule="auto"/>
              <w:rPr>
                <w:sz w:val="16"/>
                <w:szCs w:val="16"/>
              </w:rPr>
            </w:pPr>
            <w:r>
              <w:rPr>
                <w:sz w:val="16"/>
                <w:szCs w:val="16"/>
              </w:rPr>
              <w:t>ORCA</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5DC" w14:textId="77777777" w:rsidR="00031725" w:rsidRDefault="00000000">
            <w:pPr>
              <w:spacing w:after="0" w:line="240" w:lineRule="auto"/>
              <w:rPr>
                <w:sz w:val="16"/>
                <w:szCs w:val="16"/>
              </w:rPr>
            </w:pPr>
            <w:r>
              <w:rPr>
                <w:sz w:val="16"/>
                <w:szCs w:val="16"/>
              </w:rPr>
              <w:t>Germany</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5DD" w14:textId="77777777" w:rsidR="00031725" w:rsidRDefault="00031725">
            <w:pPr>
              <w:spacing w:after="0" w:line="240" w:lineRule="auto"/>
              <w:rPr>
                <w:sz w:val="16"/>
                <w:szCs w:val="16"/>
              </w:rPr>
            </w:pPr>
          </w:p>
        </w:tc>
      </w:tr>
      <w:tr w:rsidR="00031725" w14:paraId="4C6958D4"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5DE" w14:textId="77777777" w:rsidR="00031725" w:rsidRDefault="00000000">
            <w:pPr>
              <w:spacing w:after="0" w:line="240" w:lineRule="auto"/>
              <w:jc w:val="center"/>
              <w:rPr>
                <w:sz w:val="16"/>
                <w:szCs w:val="16"/>
              </w:rPr>
            </w:pPr>
            <w:r>
              <w:rPr>
                <w:sz w:val="16"/>
                <w:szCs w:val="16"/>
              </w:rPr>
              <w:t>4</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5DF" w14:textId="77777777" w:rsidR="00031725" w:rsidRDefault="00000000">
            <w:pPr>
              <w:spacing w:after="0" w:line="240" w:lineRule="auto"/>
              <w:rPr>
                <w:sz w:val="16"/>
                <w:szCs w:val="16"/>
              </w:rPr>
            </w:pPr>
            <w:r>
              <w:rPr>
                <w:sz w:val="16"/>
                <w:szCs w:val="16"/>
              </w:rPr>
              <w:t>Amir</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5E0" w14:textId="77777777" w:rsidR="00031725" w:rsidRDefault="00000000">
            <w:pPr>
              <w:spacing w:after="0" w:line="240" w:lineRule="auto"/>
              <w:rPr>
                <w:sz w:val="16"/>
                <w:szCs w:val="16"/>
              </w:rPr>
            </w:pPr>
            <w:r>
              <w:rPr>
                <w:sz w:val="16"/>
                <w:szCs w:val="16"/>
              </w:rPr>
              <w:t>Aryani</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5E1" w14:textId="77777777" w:rsidR="00031725" w:rsidRDefault="00000000">
            <w:pPr>
              <w:spacing w:after="0" w:line="240" w:lineRule="auto"/>
              <w:rPr>
                <w:sz w:val="16"/>
                <w:szCs w:val="16"/>
              </w:rPr>
            </w:pPr>
            <w:r>
              <w:rPr>
                <w:sz w:val="16"/>
                <w:szCs w:val="16"/>
              </w:rPr>
              <w:t>Head of AI Group</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5E2" w14:textId="77777777" w:rsidR="00031725" w:rsidRDefault="00000000">
            <w:pPr>
              <w:spacing w:after="0" w:line="240" w:lineRule="auto"/>
              <w:rPr>
                <w:sz w:val="16"/>
                <w:szCs w:val="16"/>
              </w:rPr>
            </w:pPr>
            <w:r>
              <w:rPr>
                <w:sz w:val="16"/>
                <w:szCs w:val="16"/>
              </w:rPr>
              <w:t>Swinburne University of Technology</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5E3" w14:textId="77777777" w:rsidR="00031725" w:rsidRDefault="00000000">
            <w:pPr>
              <w:spacing w:after="0" w:line="240" w:lineRule="auto"/>
              <w:rPr>
                <w:sz w:val="16"/>
                <w:szCs w:val="16"/>
              </w:rPr>
            </w:pPr>
            <w:r>
              <w:rPr>
                <w:sz w:val="16"/>
                <w:szCs w:val="16"/>
              </w:rPr>
              <w:t>Australia</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5E4" w14:textId="77777777" w:rsidR="00031725" w:rsidRDefault="00031725">
            <w:pPr>
              <w:spacing w:after="0" w:line="240" w:lineRule="auto"/>
              <w:rPr>
                <w:sz w:val="16"/>
                <w:szCs w:val="16"/>
              </w:rPr>
            </w:pPr>
          </w:p>
        </w:tc>
      </w:tr>
      <w:tr w:rsidR="00031725" w14:paraId="00818F5E"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5E5" w14:textId="77777777" w:rsidR="00031725" w:rsidRDefault="00000000">
            <w:pPr>
              <w:spacing w:after="0" w:line="240" w:lineRule="auto"/>
              <w:jc w:val="center"/>
              <w:rPr>
                <w:sz w:val="16"/>
                <w:szCs w:val="16"/>
              </w:rPr>
            </w:pPr>
            <w:r>
              <w:rPr>
                <w:sz w:val="16"/>
                <w:szCs w:val="16"/>
              </w:rPr>
              <w:t>5</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5E6" w14:textId="77777777" w:rsidR="00031725" w:rsidRDefault="00000000">
            <w:pPr>
              <w:spacing w:after="0" w:line="240" w:lineRule="auto"/>
              <w:rPr>
                <w:sz w:val="16"/>
                <w:szCs w:val="16"/>
              </w:rPr>
            </w:pPr>
            <w:r>
              <w:rPr>
                <w:sz w:val="16"/>
                <w:szCs w:val="16"/>
              </w:rPr>
              <w:t>Rossella</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5E7" w14:textId="77777777" w:rsidR="00031725" w:rsidRDefault="00000000">
            <w:pPr>
              <w:spacing w:after="0" w:line="240" w:lineRule="auto"/>
              <w:rPr>
                <w:sz w:val="16"/>
                <w:szCs w:val="16"/>
              </w:rPr>
            </w:pPr>
            <w:r>
              <w:rPr>
                <w:sz w:val="16"/>
                <w:szCs w:val="16"/>
              </w:rPr>
              <w:t>Aversa</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5E8" w14:textId="77777777" w:rsidR="00031725" w:rsidRDefault="00000000">
            <w:pPr>
              <w:spacing w:after="0" w:line="240" w:lineRule="auto"/>
              <w:rPr>
                <w:sz w:val="16"/>
                <w:szCs w:val="16"/>
              </w:rPr>
            </w:pPr>
            <w:r>
              <w:rPr>
                <w:sz w:val="16"/>
                <w:szCs w:val="16"/>
              </w:rPr>
              <w:t>Head of Department</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5E9" w14:textId="77777777" w:rsidR="00031725" w:rsidRDefault="00000000">
            <w:pPr>
              <w:spacing w:after="0" w:line="240" w:lineRule="auto"/>
              <w:rPr>
                <w:sz w:val="16"/>
                <w:szCs w:val="16"/>
              </w:rPr>
            </w:pPr>
            <w:r>
              <w:rPr>
                <w:sz w:val="16"/>
                <w:szCs w:val="16"/>
              </w:rPr>
              <w:t>Karlsruhe Institute of Technology (KIT)</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5EA" w14:textId="77777777" w:rsidR="00031725" w:rsidRDefault="00000000">
            <w:pPr>
              <w:spacing w:after="0" w:line="240" w:lineRule="auto"/>
              <w:rPr>
                <w:sz w:val="16"/>
                <w:szCs w:val="16"/>
              </w:rPr>
            </w:pPr>
            <w:r>
              <w:rPr>
                <w:sz w:val="16"/>
                <w:szCs w:val="16"/>
              </w:rPr>
              <w:t>Germany</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5EB" w14:textId="77777777" w:rsidR="00031725" w:rsidRDefault="00031725">
            <w:pPr>
              <w:spacing w:after="0" w:line="240" w:lineRule="auto"/>
              <w:rPr>
                <w:sz w:val="16"/>
                <w:szCs w:val="16"/>
              </w:rPr>
            </w:pPr>
            <w:hyperlink r:id="rId229">
              <w:r>
                <w:rPr>
                  <w:color w:val="1155CC"/>
                  <w:sz w:val="16"/>
                  <w:szCs w:val="16"/>
                  <w:u w:val="single"/>
                </w:rPr>
                <w:t>0000-0003-2534-0063</w:t>
              </w:r>
            </w:hyperlink>
          </w:p>
        </w:tc>
      </w:tr>
      <w:tr w:rsidR="00031725" w14:paraId="0565AE2B"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5EC" w14:textId="77777777" w:rsidR="00031725" w:rsidRDefault="00000000">
            <w:pPr>
              <w:spacing w:after="0" w:line="240" w:lineRule="auto"/>
              <w:jc w:val="center"/>
              <w:rPr>
                <w:sz w:val="16"/>
                <w:szCs w:val="16"/>
              </w:rPr>
            </w:pPr>
            <w:r>
              <w:rPr>
                <w:sz w:val="16"/>
                <w:szCs w:val="16"/>
              </w:rPr>
              <w:t>6</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5ED" w14:textId="77777777" w:rsidR="00031725" w:rsidRDefault="00000000">
            <w:pPr>
              <w:spacing w:after="0" w:line="240" w:lineRule="auto"/>
              <w:rPr>
                <w:sz w:val="16"/>
                <w:szCs w:val="16"/>
              </w:rPr>
            </w:pPr>
            <w:r>
              <w:rPr>
                <w:sz w:val="16"/>
                <w:szCs w:val="16"/>
              </w:rPr>
              <w:t>Amira</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5EE" w14:textId="77777777" w:rsidR="00031725" w:rsidRDefault="00000000">
            <w:pPr>
              <w:spacing w:after="0" w:line="240" w:lineRule="auto"/>
              <w:rPr>
                <w:sz w:val="16"/>
                <w:szCs w:val="16"/>
              </w:rPr>
            </w:pPr>
            <w:r>
              <w:rPr>
                <w:sz w:val="16"/>
                <w:szCs w:val="16"/>
              </w:rPr>
              <w:t>Azizan</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5EF" w14:textId="77777777" w:rsidR="00031725" w:rsidRDefault="00000000">
            <w:pPr>
              <w:spacing w:after="0" w:line="240" w:lineRule="auto"/>
              <w:rPr>
                <w:sz w:val="16"/>
                <w:szCs w:val="16"/>
              </w:rPr>
            </w:pPr>
            <w:r>
              <w:rPr>
                <w:sz w:val="16"/>
                <w:szCs w:val="16"/>
              </w:rPr>
              <w:t>Data Steward</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5F0" w14:textId="77777777" w:rsidR="00031725" w:rsidRDefault="00000000">
            <w:pPr>
              <w:spacing w:after="0" w:line="240" w:lineRule="auto"/>
              <w:rPr>
                <w:sz w:val="16"/>
                <w:szCs w:val="16"/>
              </w:rPr>
            </w:pPr>
            <w:r>
              <w:rPr>
                <w:sz w:val="16"/>
                <w:szCs w:val="16"/>
              </w:rPr>
              <w:t>Centre National de la Recherche Scientifique (CNRS) / Data Terra</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5F1" w14:textId="77777777" w:rsidR="00031725" w:rsidRDefault="00000000">
            <w:pPr>
              <w:spacing w:after="0" w:line="240" w:lineRule="auto"/>
              <w:rPr>
                <w:sz w:val="16"/>
                <w:szCs w:val="16"/>
              </w:rPr>
            </w:pPr>
            <w:r>
              <w:rPr>
                <w:sz w:val="16"/>
                <w:szCs w:val="16"/>
              </w:rPr>
              <w:t>France</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5F2" w14:textId="77777777" w:rsidR="00031725" w:rsidRDefault="00031725">
            <w:pPr>
              <w:spacing w:after="0" w:line="240" w:lineRule="auto"/>
              <w:rPr>
                <w:sz w:val="16"/>
                <w:szCs w:val="16"/>
              </w:rPr>
            </w:pPr>
          </w:p>
        </w:tc>
      </w:tr>
      <w:tr w:rsidR="00031725" w14:paraId="28D750C2"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5F3" w14:textId="77777777" w:rsidR="00031725" w:rsidRDefault="00000000">
            <w:pPr>
              <w:spacing w:after="0" w:line="240" w:lineRule="auto"/>
              <w:jc w:val="center"/>
              <w:rPr>
                <w:sz w:val="16"/>
                <w:szCs w:val="16"/>
              </w:rPr>
            </w:pPr>
            <w:r>
              <w:rPr>
                <w:sz w:val="16"/>
                <w:szCs w:val="16"/>
              </w:rPr>
              <w:t>7</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5F4" w14:textId="77777777" w:rsidR="00031725" w:rsidRDefault="00000000">
            <w:pPr>
              <w:spacing w:after="0" w:line="240" w:lineRule="auto"/>
              <w:rPr>
                <w:sz w:val="16"/>
                <w:szCs w:val="16"/>
              </w:rPr>
            </w:pPr>
            <w:r>
              <w:rPr>
                <w:sz w:val="16"/>
                <w:szCs w:val="16"/>
              </w:rPr>
              <w:t>Sudhanshu</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5F5" w14:textId="77777777" w:rsidR="00031725" w:rsidRDefault="00000000">
            <w:pPr>
              <w:spacing w:after="0" w:line="240" w:lineRule="auto"/>
              <w:rPr>
                <w:sz w:val="16"/>
                <w:szCs w:val="16"/>
              </w:rPr>
            </w:pPr>
            <w:r>
              <w:rPr>
                <w:sz w:val="16"/>
                <w:szCs w:val="16"/>
              </w:rPr>
              <w:t>Bajpai</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5F6" w14:textId="77777777" w:rsidR="00031725" w:rsidRDefault="00000000">
            <w:pPr>
              <w:spacing w:after="0" w:line="240" w:lineRule="auto"/>
              <w:rPr>
                <w:sz w:val="16"/>
                <w:szCs w:val="16"/>
              </w:rPr>
            </w:pPr>
            <w:r>
              <w:rPr>
                <w:sz w:val="16"/>
                <w:szCs w:val="16"/>
              </w:rPr>
              <w:t>Librarian</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5F7" w14:textId="77777777" w:rsidR="00031725" w:rsidRDefault="00000000">
            <w:pPr>
              <w:spacing w:after="0" w:line="240" w:lineRule="auto"/>
              <w:rPr>
                <w:sz w:val="16"/>
                <w:szCs w:val="16"/>
              </w:rPr>
            </w:pPr>
            <w:r>
              <w:rPr>
                <w:sz w:val="16"/>
                <w:szCs w:val="16"/>
              </w:rPr>
              <w:t>Indian Institute of Technology BHU (IIT BHU)</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5F8" w14:textId="77777777" w:rsidR="00031725" w:rsidRDefault="00000000">
            <w:pPr>
              <w:spacing w:after="0" w:line="240" w:lineRule="auto"/>
              <w:rPr>
                <w:sz w:val="16"/>
                <w:szCs w:val="16"/>
              </w:rPr>
            </w:pPr>
            <w:r>
              <w:rPr>
                <w:sz w:val="16"/>
                <w:szCs w:val="16"/>
              </w:rPr>
              <w:t>India</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5F9" w14:textId="77777777" w:rsidR="00031725" w:rsidRDefault="00031725">
            <w:pPr>
              <w:spacing w:after="0" w:line="240" w:lineRule="auto"/>
              <w:rPr>
                <w:sz w:val="16"/>
                <w:szCs w:val="16"/>
              </w:rPr>
            </w:pPr>
          </w:p>
        </w:tc>
      </w:tr>
      <w:tr w:rsidR="00031725" w14:paraId="6741FD1A" w14:textId="77777777">
        <w:trPr>
          <w:trHeight w:val="43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5FA" w14:textId="77777777" w:rsidR="00031725" w:rsidRDefault="00000000">
            <w:pPr>
              <w:spacing w:after="0" w:line="240" w:lineRule="auto"/>
              <w:jc w:val="center"/>
              <w:rPr>
                <w:sz w:val="16"/>
                <w:szCs w:val="16"/>
              </w:rPr>
            </w:pPr>
            <w:r>
              <w:rPr>
                <w:sz w:val="16"/>
                <w:szCs w:val="16"/>
              </w:rPr>
              <w:t>8</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5FB" w14:textId="77777777" w:rsidR="00031725" w:rsidRDefault="00000000">
            <w:pPr>
              <w:spacing w:after="0" w:line="240" w:lineRule="auto"/>
              <w:rPr>
                <w:sz w:val="16"/>
                <w:szCs w:val="16"/>
              </w:rPr>
            </w:pPr>
            <w:r>
              <w:rPr>
                <w:sz w:val="16"/>
                <w:szCs w:val="16"/>
              </w:rPr>
              <w:t>Laure</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5FC" w14:textId="77777777" w:rsidR="00031725" w:rsidRDefault="00000000">
            <w:pPr>
              <w:spacing w:after="0" w:line="240" w:lineRule="auto"/>
              <w:rPr>
                <w:sz w:val="16"/>
                <w:szCs w:val="16"/>
              </w:rPr>
            </w:pPr>
            <w:r>
              <w:rPr>
                <w:sz w:val="16"/>
                <w:szCs w:val="16"/>
              </w:rPr>
              <w:t>Berti-Equille</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5FD" w14:textId="77777777" w:rsidR="00031725" w:rsidRDefault="00000000">
            <w:pPr>
              <w:spacing w:after="0" w:line="240" w:lineRule="auto"/>
              <w:rPr>
                <w:sz w:val="16"/>
                <w:szCs w:val="16"/>
              </w:rPr>
            </w:pPr>
            <w:r>
              <w:rPr>
                <w:sz w:val="16"/>
                <w:szCs w:val="16"/>
              </w:rPr>
              <w:t>Research Director</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5FE" w14:textId="77777777" w:rsidR="00031725" w:rsidRDefault="00000000">
            <w:pPr>
              <w:spacing w:after="0" w:line="240" w:lineRule="auto"/>
              <w:rPr>
                <w:sz w:val="16"/>
                <w:szCs w:val="16"/>
              </w:rPr>
            </w:pPr>
            <w:r>
              <w:rPr>
                <w:sz w:val="16"/>
                <w:szCs w:val="16"/>
              </w:rPr>
              <w:t>Institut de Recherche pour le Développement (IRD)</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5FF" w14:textId="77777777" w:rsidR="00031725" w:rsidRDefault="00000000">
            <w:pPr>
              <w:spacing w:after="0" w:line="240" w:lineRule="auto"/>
              <w:rPr>
                <w:sz w:val="16"/>
                <w:szCs w:val="16"/>
              </w:rPr>
            </w:pPr>
            <w:r>
              <w:rPr>
                <w:sz w:val="16"/>
                <w:szCs w:val="16"/>
              </w:rPr>
              <w:t>France</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00" w14:textId="77777777" w:rsidR="00031725" w:rsidRDefault="00031725">
            <w:pPr>
              <w:spacing w:after="0" w:line="240" w:lineRule="auto"/>
              <w:rPr>
                <w:sz w:val="16"/>
                <w:szCs w:val="16"/>
              </w:rPr>
            </w:pPr>
          </w:p>
        </w:tc>
      </w:tr>
      <w:tr w:rsidR="00031725" w14:paraId="6997AFBD"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01" w14:textId="77777777" w:rsidR="00031725" w:rsidRDefault="00000000">
            <w:pPr>
              <w:spacing w:after="0" w:line="240" w:lineRule="auto"/>
              <w:jc w:val="center"/>
              <w:rPr>
                <w:sz w:val="16"/>
                <w:szCs w:val="16"/>
              </w:rPr>
            </w:pPr>
            <w:r>
              <w:rPr>
                <w:sz w:val="16"/>
                <w:szCs w:val="16"/>
              </w:rPr>
              <w:t>9</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02" w14:textId="77777777" w:rsidR="00031725" w:rsidRDefault="00000000">
            <w:pPr>
              <w:spacing w:after="0" w:line="240" w:lineRule="auto"/>
              <w:rPr>
                <w:sz w:val="16"/>
                <w:szCs w:val="16"/>
              </w:rPr>
            </w:pPr>
            <w:r>
              <w:rPr>
                <w:sz w:val="16"/>
                <w:szCs w:val="16"/>
              </w:rPr>
              <w:t>Paty</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03" w14:textId="77777777" w:rsidR="00031725" w:rsidRDefault="00000000">
            <w:pPr>
              <w:spacing w:after="0" w:line="240" w:lineRule="auto"/>
              <w:rPr>
                <w:sz w:val="16"/>
                <w:szCs w:val="16"/>
              </w:rPr>
            </w:pPr>
            <w:r>
              <w:rPr>
                <w:sz w:val="16"/>
                <w:szCs w:val="16"/>
              </w:rPr>
              <w:t>Buendia</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04" w14:textId="77777777" w:rsidR="00031725" w:rsidRDefault="00000000">
            <w:pPr>
              <w:spacing w:after="0" w:line="240" w:lineRule="auto"/>
              <w:rPr>
                <w:sz w:val="16"/>
                <w:szCs w:val="16"/>
              </w:rPr>
            </w:pPr>
            <w:r>
              <w:rPr>
                <w:sz w:val="16"/>
                <w:szCs w:val="16"/>
              </w:rPr>
              <w:t>Technical Director</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05" w14:textId="77777777" w:rsidR="00031725" w:rsidRDefault="00000000">
            <w:pPr>
              <w:spacing w:after="0" w:line="240" w:lineRule="auto"/>
              <w:rPr>
                <w:sz w:val="16"/>
                <w:szCs w:val="16"/>
              </w:rPr>
            </w:pPr>
            <w:r>
              <w:rPr>
                <w:sz w:val="16"/>
                <w:szCs w:val="16"/>
              </w:rPr>
              <w:t>Lifetime Omics</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06" w14:textId="77777777" w:rsidR="00031725" w:rsidRDefault="00000000">
            <w:pPr>
              <w:spacing w:after="0" w:line="240" w:lineRule="auto"/>
              <w:rPr>
                <w:sz w:val="16"/>
                <w:szCs w:val="16"/>
              </w:rPr>
            </w:pPr>
            <w:r>
              <w:rPr>
                <w:sz w:val="16"/>
                <w:szCs w:val="16"/>
              </w:rPr>
              <w:t>France / United States</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07" w14:textId="77777777" w:rsidR="00031725" w:rsidRDefault="00031725">
            <w:pPr>
              <w:spacing w:after="0" w:line="240" w:lineRule="auto"/>
              <w:rPr>
                <w:sz w:val="16"/>
                <w:szCs w:val="16"/>
              </w:rPr>
            </w:pPr>
          </w:p>
        </w:tc>
      </w:tr>
      <w:tr w:rsidR="00031725" w14:paraId="7B3DCD5C" w14:textId="77777777">
        <w:trPr>
          <w:trHeight w:val="43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08" w14:textId="77777777" w:rsidR="00031725" w:rsidRDefault="00000000">
            <w:pPr>
              <w:spacing w:after="0" w:line="240" w:lineRule="auto"/>
              <w:jc w:val="center"/>
              <w:rPr>
                <w:sz w:val="16"/>
                <w:szCs w:val="16"/>
              </w:rPr>
            </w:pPr>
            <w:r>
              <w:rPr>
                <w:sz w:val="16"/>
                <w:szCs w:val="16"/>
              </w:rPr>
              <w:t>10</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09" w14:textId="77777777" w:rsidR="00031725" w:rsidRDefault="00000000">
            <w:pPr>
              <w:spacing w:after="0" w:line="240" w:lineRule="auto"/>
              <w:rPr>
                <w:sz w:val="16"/>
                <w:szCs w:val="16"/>
              </w:rPr>
            </w:pPr>
            <w:r>
              <w:rPr>
                <w:sz w:val="16"/>
                <w:szCs w:val="16"/>
              </w:rPr>
              <w:t>James</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0A" w14:textId="77777777" w:rsidR="00031725" w:rsidRDefault="00000000">
            <w:pPr>
              <w:spacing w:after="0" w:line="240" w:lineRule="auto"/>
              <w:rPr>
                <w:sz w:val="16"/>
                <w:szCs w:val="16"/>
              </w:rPr>
            </w:pPr>
            <w:r>
              <w:rPr>
                <w:sz w:val="16"/>
                <w:szCs w:val="16"/>
              </w:rPr>
              <w:t>Cannon</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0B" w14:textId="77777777" w:rsidR="00031725" w:rsidRDefault="00000000">
            <w:pPr>
              <w:spacing w:after="0" w:line="240" w:lineRule="auto"/>
              <w:rPr>
                <w:sz w:val="16"/>
                <w:szCs w:val="16"/>
              </w:rPr>
            </w:pPr>
            <w:r>
              <w:rPr>
                <w:sz w:val="16"/>
                <w:szCs w:val="16"/>
              </w:rPr>
              <w:t>Research HCP and Storage Engineer</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0C" w14:textId="77777777" w:rsidR="00031725" w:rsidRDefault="00000000">
            <w:pPr>
              <w:spacing w:after="0" w:line="240" w:lineRule="auto"/>
              <w:rPr>
                <w:sz w:val="16"/>
                <w:szCs w:val="16"/>
              </w:rPr>
            </w:pPr>
            <w:r>
              <w:rPr>
                <w:sz w:val="16"/>
                <w:szCs w:val="16"/>
              </w:rPr>
              <w:t>University of Michigan</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0D" w14:textId="77777777" w:rsidR="00031725" w:rsidRDefault="00000000">
            <w:pPr>
              <w:spacing w:after="0" w:line="240" w:lineRule="auto"/>
              <w:rPr>
                <w:sz w:val="16"/>
                <w:szCs w:val="16"/>
              </w:rPr>
            </w:pPr>
            <w:r>
              <w:rPr>
                <w:sz w:val="16"/>
                <w:szCs w:val="16"/>
              </w:rPr>
              <w:t>United States</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0E" w14:textId="77777777" w:rsidR="00031725" w:rsidRDefault="00031725">
            <w:pPr>
              <w:spacing w:after="0" w:line="240" w:lineRule="auto"/>
              <w:rPr>
                <w:sz w:val="16"/>
                <w:szCs w:val="16"/>
              </w:rPr>
            </w:pPr>
          </w:p>
        </w:tc>
      </w:tr>
      <w:tr w:rsidR="00031725" w14:paraId="0CFC2B40"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0F" w14:textId="77777777" w:rsidR="00031725" w:rsidRDefault="00000000">
            <w:pPr>
              <w:spacing w:after="0" w:line="240" w:lineRule="auto"/>
              <w:jc w:val="center"/>
              <w:rPr>
                <w:sz w:val="16"/>
                <w:szCs w:val="16"/>
              </w:rPr>
            </w:pPr>
            <w:r>
              <w:rPr>
                <w:sz w:val="16"/>
                <w:szCs w:val="16"/>
              </w:rPr>
              <w:lastRenderedPageBreak/>
              <w:t>11</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10" w14:textId="77777777" w:rsidR="00031725" w:rsidRDefault="00000000">
            <w:pPr>
              <w:spacing w:after="0" w:line="240" w:lineRule="auto"/>
              <w:rPr>
                <w:sz w:val="16"/>
                <w:szCs w:val="16"/>
              </w:rPr>
            </w:pPr>
            <w:r>
              <w:rPr>
                <w:sz w:val="16"/>
                <w:szCs w:val="16"/>
              </w:rPr>
              <w:t>Connie</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11" w14:textId="77777777" w:rsidR="00031725" w:rsidRDefault="00000000">
            <w:pPr>
              <w:spacing w:after="0" w:line="240" w:lineRule="auto"/>
              <w:rPr>
                <w:sz w:val="16"/>
                <w:szCs w:val="16"/>
              </w:rPr>
            </w:pPr>
            <w:r>
              <w:rPr>
                <w:sz w:val="16"/>
                <w:szCs w:val="16"/>
              </w:rPr>
              <w:t>Clare</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12" w14:textId="77777777" w:rsidR="00031725" w:rsidRDefault="00000000">
            <w:pPr>
              <w:spacing w:after="0" w:line="240" w:lineRule="auto"/>
              <w:rPr>
                <w:sz w:val="16"/>
                <w:szCs w:val="16"/>
              </w:rPr>
            </w:pPr>
            <w:r>
              <w:rPr>
                <w:sz w:val="16"/>
                <w:szCs w:val="16"/>
              </w:rPr>
              <w:t>Community Development Manager</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13" w14:textId="77777777" w:rsidR="00031725" w:rsidRDefault="00000000">
            <w:pPr>
              <w:spacing w:after="0" w:line="240" w:lineRule="auto"/>
              <w:rPr>
                <w:sz w:val="16"/>
                <w:szCs w:val="16"/>
              </w:rPr>
            </w:pPr>
            <w:r>
              <w:rPr>
                <w:sz w:val="16"/>
                <w:szCs w:val="16"/>
              </w:rPr>
              <w:t>Research Data Alliance (RDA)</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14" w14:textId="77777777" w:rsidR="00031725" w:rsidRDefault="00000000">
            <w:pPr>
              <w:spacing w:after="0" w:line="240" w:lineRule="auto"/>
              <w:rPr>
                <w:sz w:val="16"/>
                <w:szCs w:val="16"/>
              </w:rPr>
            </w:pPr>
            <w:r>
              <w:rPr>
                <w:sz w:val="16"/>
                <w:szCs w:val="16"/>
              </w:rPr>
              <w:t>United Kingdom</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15" w14:textId="77777777" w:rsidR="00031725" w:rsidRDefault="00031725">
            <w:pPr>
              <w:spacing w:after="0" w:line="240" w:lineRule="auto"/>
              <w:rPr>
                <w:sz w:val="16"/>
                <w:szCs w:val="16"/>
              </w:rPr>
            </w:pPr>
            <w:hyperlink r:id="rId230">
              <w:r>
                <w:rPr>
                  <w:color w:val="1155CC"/>
                  <w:sz w:val="16"/>
                  <w:szCs w:val="16"/>
                  <w:u w:val="single"/>
                </w:rPr>
                <w:t>0000-0002-4369-196X</w:t>
              </w:r>
            </w:hyperlink>
          </w:p>
        </w:tc>
      </w:tr>
      <w:tr w:rsidR="00031725" w14:paraId="4113EE39"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16" w14:textId="77777777" w:rsidR="00031725" w:rsidRDefault="00000000">
            <w:pPr>
              <w:spacing w:after="0" w:line="240" w:lineRule="auto"/>
              <w:jc w:val="center"/>
              <w:rPr>
                <w:sz w:val="16"/>
                <w:szCs w:val="16"/>
              </w:rPr>
            </w:pPr>
            <w:r>
              <w:rPr>
                <w:sz w:val="16"/>
                <w:szCs w:val="16"/>
              </w:rPr>
              <w:t>12</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17" w14:textId="77777777" w:rsidR="00031725" w:rsidRDefault="00000000">
            <w:pPr>
              <w:spacing w:after="0" w:line="240" w:lineRule="auto"/>
              <w:rPr>
                <w:sz w:val="16"/>
                <w:szCs w:val="16"/>
              </w:rPr>
            </w:pPr>
            <w:r>
              <w:rPr>
                <w:sz w:val="16"/>
                <w:szCs w:val="16"/>
              </w:rPr>
              <w:t>Francis P.</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18" w14:textId="77777777" w:rsidR="00031725" w:rsidRDefault="00000000">
            <w:pPr>
              <w:spacing w:after="0" w:line="240" w:lineRule="auto"/>
              <w:rPr>
                <w:sz w:val="16"/>
                <w:szCs w:val="16"/>
              </w:rPr>
            </w:pPr>
            <w:r>
              <w:rPr>
                <w:sz w:val="16"/>
                <w:szCs w:val="16"/>
              </w:rPr>
              <w:t>Crawley</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19" w14:textId="77777777" w:rsidR="00031725" w:rsidRDefault="00000000">
            <w:pPr>
              <w:spacing w:after="0" w:line="240" w:lineRule="auto"/>
              <w:rPr>
                <w:sz w:val="16"/>
                <w:szCs w:val="16"/>
              </w:rPr>
            </w:pPr>
            <w:r>
              <w:rPr>
                <w:sz w:val="16"/>
                <w:szCs w:val="16"/>
              </w:rPr>
              <w:t>Executive Director</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1A" w14:textId="77777777" w:rsidR="00031725" w:rsidRDefault="00000000">
            <w:pPr>
              <w:spacing w:after="0" w:line="240" w:lineRule="auto"/>
              <w:rPr>
                <w:sz w:val="16"/>
                <w:szCs w:val="16"/>
              </w:rPr>
            </w:pPr>
            <w:r>
              <w:rPr>
                <w:sz w:val="16"/>
                <w:szCs w:val="16"/>
              </w:rPr>
              <w:t>EOSC-Future/RDA Artificial Intelligence &amp; Data Visitation (AIDV) WG; HGP2; GCPA; SIDCER</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1B" w14:textId="77777777" w:rsidR="00031725" w:rsidRDefault="00000000">
            <w:pPr>
              <w:spacing w:after="0" w:line="240" w:lineRule="auto"/>
              <w:rPr>
                <w:sz w:val="16"/>
                <w:szCs w:val="16"/>
              </w:rPr>
            </w:pPr>
            <w:r>
              <w:rPr>
                <w:sz w:val="16"/>
                <w:szCs w:val="16"/>
              </w:rPr>
              <w:t>Belgium</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1C" w14:textId="77777777" w:rsidR="00031725" w:rsidRDefault="00031725">
            <w:pPr>
              <w:spacing w:after="0" w:line="240" w:lineRule="auto"/>
              <w:rPr>
                <w:sz w:val="16"/>
                <w:szCs w:val="16"/>
              </w:rPr>
            </w:pPr>
            <w:hyperlink r:id="rId231">
              <w:r>
                <w:rPr>
                  <w:color w:val="1155CC"/>
                  <w:sz w:val="16"/>
                  <w:szCs w:val="16"/>
                  <w:u w:val="single"/>
                </w:rPr>
                <w:t>0000-0002-6893-5916</w:t>
              </w:r>
            </w:hyperlink>
            <w:r>
              <w:rPr>
                <w:sz w:val="16"/>
                <w:szCs w:val="16"/>
              </w:rPr>
              <w:t xml:space="preserve"> </w:t>
            </w:r>
          </w:p>
        </w:tc>
      </w:tr>
      <w:tr w:rsidR="00031725" w14:paraId="34A6CE7C"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1D" w14:textId="77777777" w:rsidR="00031725" w:rsidRDefault="00000000">
            <w:pPr>
              <w:spacing w:after="0" w:line="240" w:lineRule="auto"/>
              <w:jc w:val="center"/>
              <w:rPr>
                <w:sz w:val="16"/>
                <w:szCs w:val="16"/>
              </w:rPr>
            </w:pPr>
            <w:r>
              <w:rPr>
                <w:sz w:val="16"/>
                <w:szCs w:val="16"/>
              </w:rPr>
              <w:t>13</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1E" w14:textId="77777777" w:rsidR="00031725" w:rsidRDefault="00000000">
            <w:pPr>
              <w:spacing w:after="0" w:line="240" w:lineRule="auto"/>
              <w:rPr>
                <w:sz w:val="16"/>
                <w:szCs w:val="16"/>
              </w:rPr>
            </w:pPr>
            <w:r>
              <w:rPr>
                <w:sz w:val="16"/>
                <w:szCs w:val="16"/>
              </w:rPr>
              <w:t>Mohamed</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1F" w14:textId="77777777" w:rsidR="00031725" w:rsidRDefault="00000000">
            <w:pPr>
              <w:spacing w:after="0" w:line="240" w:lineRule="auto"/>
              <w:rPr>
                <w:sz w:val="16"/>
                <w:szCs w:val="16"/>
              </w:rPr>
            </w:pPr>
            <w:r>
              <w:rPr>
                <w:sz w:val="16"/>
                <w:szCs w:val="16"/>
              </w:rPr>
              <w:t>Drira</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20" w14:textId="77777777" w:rsidR="00031725" w:rsidRDefault="00000000">
            <w:pPr>
              <w:spacing w:after="0" w:line="240" w:lineRule="auto"/>
              <w:rPr>
                <w:sz w:val="16"/>
                <w:szCs w:val="16"/>
              </w:rPr>
            </w:pPr>
            <w:r>
              <w:rPr>
                <w:sz w:val="16"/>
                <w:szCs w:val="16"/>
              </w:rPr>
              <w:t>Associate Professor</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21" w14:textId="77777777" w:rsidR="00031725" w:rsidRDefault="00000000">
            <w:pPr>
              <w:spacing w:after="0" w:line="240" w:lineRule="auto"/>
              <w:rPr>
                <w:sz w:val="16"/>
                <w:szCs w:val="16"/>
              </w:rPr>
            </w:pPr>
            <w:r>
              <w:rPr>
                <w:sz w:val="16"/>
                <w:szCs w:val="16"/>
              </w:rPr>
              <w:t>Saint Mary’s University</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22" w14:textId="77777777" w:rsidR="00031725" w:rsidRDefault="00000000">
            <w:pPr>
              <w:spacing w:after="0" w:line="240" w:lineRule="auto"/>
              <w:rPr>
                <w:sz w:val="16"/>
                <w:szCs w:val="16"/>
              </w:rPr>
            </w:pPr>
            <w:r>
              <w:rPr>
                <w:sz w:val="16"/>
                <w:szCs w:val="16"/>
              </w:rPr>
              <w:t>Canada</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23" w14:textId="77777777" w:rsidR="00031725" w:rsidRDefault="00031725">
            <w:pPr>
              <w:spacing w:after="0" w:line="240" w:lineRule="auto"/>
              <w:rPr>
                <w:sz w:val="16"/>
                <w:szCs w:val="16"/>
              </w:rPr>
            </w:pPr>
            <w:hyperlink r:id="rId232">
              <w:r>
                <w:rPr>
                  <w:color w:val="1155CC"/>
                  <w:sz w:val="16"/>
                  <w:szCs w:val="16"/>
                  <w:u w:val="single"/>
                </w:rPr>
                <w:t>0000-0002-8952-8148</w:t>
              </w:r>
            </w:hyperlink>
          </w:p>
        </w:tc>
      </w:tr>
      <w:tr w:rsidR="00031725" w14:paraId="7E4C3359"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24" w14:textId="77777777" w:rsidR="00031725" w:rsidRDefault="00000000">
            <w:pPr>
              <w:spacing w:after="0" w:line="240" w:lineRule="auto"/>
              <w:jc w:val="center"/>
              <w:rPr>
                <w:sz w:val="16"/>
                <w:szCs w:val="16"/>
              </w:rPr>
            </w:pPr>
            <w:r>
              <w:rPr>
                <w:sz w:val="16"/>
                <w:szCs w:val="16"/>
              </w:rPr>
              <w:t>14</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25" w14:textId="77777777" w:rsidR="00031725" w:rsidRDefault="00000000">
            <w:pPr>
              <w:spacing w:after="0" w:line="240" w:lineRule="auto"/>
              <w:rPr>
                <w:sz w:val="16"/>
                <w:szCs w:val="16"/>
              </w:rPr>
            </w:pPr>
            <w:r>
              <w:rPr>
                <w:sz w:val="16"/>
                <w:szCs w:val="16"/>
              </w:rPr>
              <w:t>George</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26" w14:textId="77777777" w:rsidR="00031725" w:rsidRDefault="00000000">
            <w:pPr>
              <w:spacing w:after="0" w:line="240" w:lineRule="auto"/>
              <w:rPr>
                <w:sz w:val="16"/>
                <w:szCs w:val="16"/>
              </w:rPr>
            </w:pPr>
            <w:r>
              <w:rPr>
                <w:sz w:val="16"/>
                <w:szCs w:val="16"/>
              </w:rPr>
              <w:t>Earl</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27" w14:textId="77777777" w:rsidR="00031725" w:rsidRDefault="00000000">
            <w:pPr>
              <w:spacing w:after="0" w:line="240" w:lineRule="auto"/>
              <w:rPr>
                <w:sz w:val="16"/>
                <w:szCs w:val="16"/>
              </w:rPr>
            </w:pPr>
            <w:r>
              <w:rPr>
                <w:sz w:val="16"/>
                <w:szCs w:val="16"/>
              </w:rPr>
              <w:t>Software Engineer</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28" w14:textId="77777777" w:rsidR="00031725" w:rsidRDefault="00000000">
            <w:pPr>
              <w:spacing w:after="0" w:line="240" w:lineRule="auto"/>
              <w:rPr>
                <w:sz w:val="16"/>
                <w:szCs w:val="16"/>
              </w:rPr>
            </w:pPr>
            <w:r>
              <w:rPr>
                <w:sz w:val="16"/>
                <w:szCs w:val="16"/>
              </w:rPr>
              <w:t>Microsoft</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29" w14:textId="77777777" w:rsidR="00031725" w:rsidRDefault="00000000">
            <w:pPr>
              <w:spacing w:after="0" w:line="240" w:lineRule="auto"/>
              <w:rPr>
                <w:sz w:val="16"/>
                <w:szCs w:val="16"/>
              </w:rPr>
            </w:pPr>
            <w:r>
              <w:rPr>
                <w:sz w:val="16"/>
                <w:szCs w:val="16"/>
              </w:rPr>
              <w:t>Canada</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2A" w14:textId="77777777" w:rsidR="00031725" w:rsidRDefault="00031725">
            <w:pPr>
              <w:spacing w:after="0" w:line="240" w:lineRule="auto"/>
              <w:rPr>
                <w:sz w:val="16"/>
                <w:szCs w:val="16"/>
              </w:rPr>
            </w:pPr>
          </w:p>
        </w:tc>
      </w:tr>
      <w:tr w:rsidR="00031725" w14:paraId="4C5AE866" w14:textId="77777777">
        <w:trPr>
          <w:trHeight w:val="43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2B" w14:textId="77777777" w:rsidR="00031725" w:rsidRDefault="00000000">
            <w:pPr>
              <w:spacing w:after="0" w:line="240" w:lineRule="auto"/>
              <w:jc w:val="center"/>
              <w:rPr>
                <w:sz w:val="16"/>
                <w:szCs w:val="16"/>
              </w:rPr>
            </w:pPr>
            <w:r>
              <w:rPr>
                <w:sz w:val="16"/>
                <w:szCs w:val="16"/>
              </w:rPr>
              <w:t>15</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2C" w14:textId="77777777" w:rsidR="00031725" w:rsidRDefault="00000000">
            <w:pPr>
              <w:spacing w:after="0" w:line="240" w:lineRule="auto"/>
              <w:rPr>
                <w:sz w:val="16"/>
                <w:szCs w:val="16"/>
              </w:rPr>
            </w:pPr>
            <w:r>
              <w:rPr>
                <w:sz w:val="16"/>
                <w:szCs w:val="16"/>
              </w:rPr>
              <w:t>Joe</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2D" w14:textId="77777777" w:rsidR="00031725" w:rsidRDefault="00000000">
            <w:pPr>
              <w:spacing w:after="0" w:line="240" w:lineRule="auto"/>
              <w:rPr>
                <w:sz w:val="16"/>
                <w:szCs w:val="16"/>
              </w:rPr>
            </w:pPr>
            <w:r>
              <w:rPr>
                <w:sz w:val="16"/>
                <w:szCs w:val="16"/>
              </w:rPr>
              <w:t>Edgerton</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2E" w14:textId="77777777" w:rsidR="00031725" w:rsidRDefault="00000000">
            <w:pPr>
              <w:spacing w:after="0" w:line="240" w:lineRule="auto"/>
              <w:rPr>
                <w:sz w:val="16"/>
                <w:szCs w:val="16"/>
              </w:rPr>
            </w:pPr>
            <w:r>
              <w:rPr>
                <w:sz w:val="16"/>
                <w:szCs w:val="16"/>
              </w:rPr>
              <w:t>Research Data Management Librarian</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2F" w14:textId="77777777" w:rsidR="00031725" w:rsidRDefault="00000000">
            <w:pPr>
              <w:spacing w:after="0" w:line="240" w:lineRule="auto"/>
              <w:rPr>
                <w:sz w:val="16"/>
                <w:szCs w:val="16"/>
              </w:rPr>
            </w:pPr>
            <w:r>
              <w:rPr>
                <w:sz w:val="16"/>
                <w:szCs w:val="16"/>
              </w:rPr>
              <w:t>University of Virginia</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30" w14:textId="77777777" w:rsidR="00031725" w:rsidRDefault="00000000">
            <w:pPr>
              <w:spacing w:after="0" w:line="240" w:lineRule="auto"/>
              <w:rPr>
                <w:sz w:val="16"/>
                <w:szCs w:val="16"/>
              </w:rPr>
            </w:pPr>
            <w:r>
              <w:rPr>
                <w:sz w:val="16"/>
                <w:szCs w:val="16"/>
              </w:rPr>
              <w:t>United States</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31" w14:textId="77777777" w:rsidR="00031725" w:rsidRDefault="00031725">
            <w:pPr>
              <w:spacing w:after="0" w:line="240" w:lineRule="auto"/>
              <w:rPr>
                <w:sz w:val="16"/>
                <w:szCs w:val="16"/>
              </w:rPr>
            </w:pPr>
            <w:hyperlink r:id="rId233">
              <w:r>
                <w:rPr>
                  <w:color w:val="1155CC"/>
                  <w:sz w:val="16"/>
                  <w:szCs w:val="16"/>
                  <w:u w:val="single"/>
                </w:rPr>
                <w:t>0009-0000-1292-6642</w:t>
              </w:r>
            </w:hyperlink>
          </w:p>
        </w:tc>
      </w:tr>
      <w:tr w:rsidR="00031725" w14:paraId="56926FB0"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32" w14:textId="77777777" w:rsidR="00031725" w:rsidRDefault="00000000">
            <w:pPr>
              <w:spacing w:after="0" w:line="240" w:lineRule="auto"/>
              <w:jc w:val="center"/>
              <w:rPr>
                <w:sz w:val="16"/>
                <w:szCs w:val="16"/>
              </w:rPr>
            </w:pPr>
            <w:r>
              <w:rPr>
                <w:sz w:val="16"/>
                <w:szCs w:val="16"/>
              </w:rPr>
              <w:t>16</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33" w14:textId="77777777" w:rsidR="00031725" w:rsidRDefault="00000000">
            <w:pPr>
              <w:spacing w:after="0" w:line="240" w:lineRule="auto"/>
              <w:rPr>
                <w:sz w:val="16"/>
                <w:szCs w:val="16"/>
              </w:rPr>
            </w:pPr>
            <w:r>
              <w:rPr>
                <w:sz w:val="16"/>
                <w:szCs w:val="16"/>
              </w:rPr>
              <w:t>Lars</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34" w14:textId="77777777" w:rsidR="00031725" w:rsidRDefault="00000000">
            <w:pPr>
              <w:spacing w:after="0" w:line="240" w:lineRule="auto"/>
              <w:rPr>
                <w:sz w:val="16"/>
                <w:szCs w:val="16"/>
              </w:rPr>
            </w:pPr>
            <w:r>
              <w:rPr>
                <w:sz w:val="16"/>
                <w:szCs w:val="16"/>
              </w:rPr>
              <w:t>Eklund</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35" w14:textId="77777777" w:rsidR="00031725" w:rsidRDefault="00000000">
            <w:pPr>
              <w:spacing w:after="0" w:line="240" w:lineRule="auto"/>
              <w:rPr>
                <w:sz w:val="16"/>
                <w:szCs w:val="16"/>
              </w:rPr>
            </w:pPr>
            <w:r>
              <w:rPr>
                <w:sz w:val="16"/>
                <w:szCs w:val="16"/>
              </w:rPr>
              <w:t>Domain Specialist Sensitive data</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36" w14:textId="77777777" w:rsidR="00031725" w:rsidRDefault="00000000">
            <w:pPr>
              <w:spacing w:after="0" w:line="240" w:lineRule="auto"/>
              <w:rPr>
                <w:sz w:val="16"/>
                <w:szCs w:val="16"/>
              </w:rPr>
            </w:pPr>
            <w:r>
              <w:rPr>
                <w:sz w:val="16"/>
                <w:szCs w:val="16"/>
              </w:rPr>
              <w:t>National Bioinformatics Infrastructure Sweden (NBIS) / Uppsala Multidisciplinary Center for Advanced Computational Science (UPPMAX) / Swedish National Data Service (SND), Uppsala University</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37" w14:textId="77777777" w:rsidR="00031725" w:rsidRDefault="00000000">
            <w:pPr>
              <w:spacing w:after="0" w:line="240" w:lineRule="auto"/>
              <w:rPr>
                <w:sz w:val="16"/>
                <w:szCs w:val="16"/>
              </w:rPr>
            </w:pPr>
            <w:r>
              <w:rPr>
                <w:sz w:val="16"/>
                <w:szCs w:val="16"/>
              </w:rPr>
              <w:t>Sweden</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38" w14:textId="77777777" w:rsidR="00031725" w:rsidRDefault="00031725">
            <w:pPr>
              <w:spacing w:after="0" w:line="240" w:lineRule="auto"/>
              <w:rPr>
                <w:sz w:val="16"/>
                <w:szCs w:val="16"/>
              </w:rPr>
            </w:pPr>
          </w:p>
        </w:tc>
      </w:tr>
      <w:tr w:rsidR="00031725" w14:paraId="4AD39C96"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39" w14:textId="77777777" w:rsidR="00031725" w:rsidRDefault="00000000">
            <w:pPr>
              <w:spacing w:after="0" w:line="240" w:lineRule="auto"/>
              <w:jc w:val="center"/>
              <w:rPr>
                <w:sz w:val="16"/>
                <w:szCs w:val="16"/>
              </w:rPr>
            </w:pPr>
            <w:r>
              <w:rPr>
                <w:sz w:val="16"/>
                <w:szCs w:val="16"/>
              </w:rPr>
              <w:t>17</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3A" w14:textId="77777777" w:rsidR="00031725" w:rsidRDefault="00000000">
            <w:pPr>
              <w:spacing w:after="0" w:line="240" w:lineRule="auto"/>
              <w:rPr>
                <w:sz w:val="16"/>
                <w:szCs w:val="16"/>
              </w:rPr>
            </w:pPr>
            <w:r>
              <w:rPr>
                <w:sz w:val="16"/>
                <w:szCs w:val="16"/>
              </w:rPr>
              <w:t>Eva Eleanora</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3B" w14:textId="77777777" w:rsidR="00031725" w:rsidRDefault="00000000">
            <w:pPr>
              <w:spacing w:after="0" w:line="240" w:lineRule="auto"/>
              <w:rPr>
                <w:sz w:val="16"/>
                <w:szCs w:val="16"/>
              </w:rPr>
            </w:pPr>
            <w:r>
              <w:rPr>
                <w:sz w:val="16"/>
                <w:szCs w:val="16"/>
              </w:rPr>
              <w:t>Ferradosa</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3C" w14:textId="77777777" w:rsidR="00031725" w:rsidRDefault="00000000">
            <w:pPr>
              <w:spacing w:after="0" w:line="240" w:lineRule="auto"/>
              <w:rPr>
                <w:sz w:val="16"/>
                <w:szCs w:val="16"/>
              </w:rPr>
            </w:pPr>
            <w:r>
              <w:rPr>
                <w:sz w:val="16"/>
                <w:szCs w:val="16"/>
              </w:rPr>
              <w:t>Researcher</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3D" w14:textId="77777777" w:rsidR="00031725" w:rsidRDefault="00000000">
            <w:pPr>
              <w:spacing w:after="0" w:line="240" w:lineRule="auto"/>
              <w:rPr>
                <w:sz w:val="16"/>
                <w:szCs w:val="16"/>
              </w:rPr>
            </w:pPr>
            <w:r>
              <w:rPr>
                <w:sz w:val="16"/>
                <w:szCs w:val="16"/>
              </w:rPr>
              <w:t>Delft University of Technology</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3E" w14:textId="77777777" w:rsidR="00031725" w:rsidRDefault="00000000">
            <w:pPr>
              <w:spacing w:after="0" w:line="240" w:lineRule="auto"/>
              <w:rPr>
                <w:sz w:val="16"/>
                <w:szCs w:val="16"/>
              </w:rPr>
            </w:pPr>
            <w:r>
              <w:rPr>
                <w:sz w:val="16"/>
                <w:szCs w:val="16"/>
              </w:rPr>
              <w:t>Netherlands</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3F" w14:textId="77777777" w:rsidR="00031725" w:rsidRDefault="00031725">
            <w:pPr>
              <w:spacing w:after="0" w:line="240" w:lineRule="auto"/>
              <w:rPr>
                <w:sz w:val="16"/>
                <w:szCs w:val="16"/>
              </w:rPr>
            </w:pPr>
          </w:p>
        </w:tc>
      </w:tr>
      <w:tr w:rsidR="00031725" w14:paraId="332B04AE"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40" w14:textId="77777777" w:rsidR="00031725" w:rsidRDefault="00000000">
            <w:pPr>
              <w:spacing w:after="0" w:line="240" w:lineRule="auto"/>
              <w:jc w:val="center"/>
              <w:rPr>
                <w:sz w:val="16"/>
                <w:szCs w:val="16"/>
              </w:rPr>
            </w:pPr>
            <w:r>
              <w:rPr>
                <w:sz w:val="16"/>
                <w:szCs w:val="16"/>
              </w:rPr>
              <w:t>18</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41" w14:textId="77777777" w:rsidR="00031725" w:rsidRDefault="00000000">
            <w:pPr>
              <w:spacing w:after="0" w:line="240" w:lineRule="auto"/>
              <w:rPr>
                <w:sz w:val="16"/>
                <w:szCs w:val="16"/>
              </w:rPr>
            </w:pPr>
            <w:r>
              <w:rPr>
                <w:sz w:val="16"/>
                <w:szCs w:val="16"/>
              </w:rPr>
              <w:t>Roberta</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42" w14:textId="77777777" w:rsidR="00031725" w:rsidRDefault="00000000">
            <w:pPr>
              <w:spacing w:after="0" w:line="240" w:lineRule="auto"/>
              <w:rPr>
                <w:sz w:val="16"/>
                <w:szCs w:val="16"/>
              </w:rPr>
            </w:pPr>
            <w:r>
              <w:rPr>
                <w:sz w:val="16"/>
                <w:szCs w:val="16"/>
              </w:rPr>
              <w:t>Ferretti</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43" w14:textId="77777777" w:rsidR="00031725" w:rsidRDefault="00000000">
            <w:pPr>
              <w:spacing w:after="0" w:line="240" w:lineRule="auto"/>
              <w:rPr>
                <w:sz w:val="16"/>
                <w:szCs w:val="16"/>
              </w:rPr>
            </w:pPr>
            <w:r>
              <w:rPr>
                <w:sz w:val="16"/>
                <w:szCs w:val="16"/>
              </w:rPr>
              <w:t>Researcher</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44" w14:textId="77777777" w:rsidR="00031725" w:rsidRDefault="00000000">
            <w:pPr>
              <w:spacing w:after="0" w:line="240" w:lineRule="auto"/>
              <w:rPr>
                <w:sz w:val="16"/>
                <w:szCs w:val="16"/>
              </w:rPr>
            </w:pPr>
            <w:r>
              <w:rPr>
                <w:sz w:val="16"/>
                <w:szCs w:val="16"/>
              </w:rPr>
              <w:t>Italian National Research Council – Institute of Marine Engineering (CNR-INM)</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45" w14:textId="77777777" w:rsidR="00031725" w:rsidRDefault="00000000">
            <w:pPr>
              <w:spacing w:after="0" w:line="240" w:lineRule="auto"/>
              <w:rPr>
                <w:sz w:val="16"/>
                <w:szCs w:val="16"/>
              </w:rPr>
            </w:pPr>
            <w:r>
              <w:rPr>
                <w:sz w:val="16"/>
                <w:szCs w:val="16"/>
              </w:rPr>
              <w:t>Italy</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46" w14:textId="77777777" w:rsidR="00031725" w:rsidRDefault="00031725">
            <w:pPr>
              <w:spacing w:after="0" w:line="240" w:lineRule="auto"/>
              <w:rPr>
                <w:sz w:val="16"/>
                <w:szCs w:val="16"/>
              </w:rPr>
            </w:pPr>
            <w:hyperlink r:id="rId234">
              <w:r>
                <w:rPr>
                  <w:color w:val="1155CC"/>
                  <w:sz w:val="16"/>
                  <w:szCs w:val="16"/>
                  <w:u w:val="single"/>
                </w:rPr>
                <w:t>0000-0002-1985-2145</w:t>
              </w:r>
            </w:hyperlink>
          </w:p>
        </w:tc>
      </w:tr>
      <w:tr w:rsidR="00031725" w14:paraId="145F470E"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47" w14:textId="77777777" w:rsidR="00031725" w:rsidRDefault="00000000">
            <w:pPr>
              <w:spacing w:after="0" w:line="240" w:lineRule="auto"/>
              <w:jc w:val="center"/>
              <w:rPr>
                <w:sz w:val="16"/>
                <w:szCs w:val="16"/>
              </w:rPr>
            </w:pPr>
            <w:r>
              <w:rPr>
                <w:sz w:val="16"/>
                <w:szCs w:val="16"/>
              </w:rPr>
              <w:t>19</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48" w14:textId="77777777" w:rsidR="00031725" w:rsidRDefault="00000000">
            <w:pPr>
              <w:spacing w:after="0" w:line="240" w:lineRule="auto"/>
              <w:rPr>
                <w:sz w:val="16"/>
                <w:szCs w:val="16"/>
              </w:rPr>
            </w:pPr>
            <w:r>
              <w:rPr>
                <w:sz w:val="16"/>
                <w:szCs w:val="16"/>
              </w:rPr>
              <w:t>Angela</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49" w14:textId="77777777" w:rsidR="00031725" w:rsidRDefault="00000000">
            <w:pPr>
              <w:spacing w:after="0" w:line="240" w:lineRule="auto"/>
              <w:rPr>
                <w:sz w:val="16"/>
                <w:szCs w:val="16"/>
              </w:rPr>
            </w:pPr>
            <w:r>
              <w:rPr>
                <w:sz w:val="16"/>
                <w:szCs w:val="16"/>
              </w:rPr>
              <w:t>Fuentes Pardo</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4A" w14:textId="77777777" w:rsidR="00031725" w:rsidRDefault="00000000">
            <w:pPr>
              <w:spacing w:after="0" w:line="240" w:lineRule="auto"/>
              <w:rPr>
                <w:sz w:val="16"/>
                <w:szCs w:val="16"/>
              </w:rPr>
            </w:pPr>
            <w:r>
              <w:rPr>
                <w:sz w:val="16"/>
                <w:szCs w:val="16"/>
              </w:rPr>
              <w:t>Data Steward</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4B" w14:textId="77777777" w:rsidR="00031725" w:rsidRDefault="00000000">
            <w:pPr>
              <w:spacing w:after="0" w:line="240" w:lineRule="auto"/>
              <w:rPr>
                <w:sz w:val="16"/>
                <w:szCs w:val="16"/>
              </w:rPr>
            </w:pPr>
            <w:r>
              <w:rPr>
                <w:sz w:val="16"/>
                <w:szCs w:val="16"/>
              </w:rPr>
              <w:t>Science for Life Laboratory (SciLifeLab) Data Centre</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4C" w14:textId="77777777" w:rsidR="00031725" w:rsidRDefault="00000000">
            <w:pPr>
              <w:spacing w:after="0" w:line="240" w:lineRule="auto"/>
              <w:rPr>
                <w:sz w:val="16"/>
                <w:szCs w:val="16"/>
              </w:rPr>
            </w:pPr>
            <w:r>
              <w:rPr>
                <w:sz w:val="16"/>
                <w:szCs w:val="16"/>
              </w:rPr>
              <w:t>Sweden</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4D" w14:textId="77777777" w:rsidR="00031725" w:rsidRDefault="00031725">
            <w:pPr>
              <w:spacing w:after="0" w:line="240" w:lineRule="auto"/>
              <w:rPr>
                <w:sz w:val="16"/>
                <w:szCs w:val="16"/>
              </w:rPr>
            </w:pPr>
          </w:p>
        </w:tc>
      </w:tr>
      <w:tr w:rsidR="00031725" w14:paraId="26358E46" w14:textId="77777777">
        <w:trPr>
          <w:trHeight w:val="43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4E" w14:textId="77777777" w:rsidR="00031725" w:rsidRDefault="00000000">
            <w:pPr>
              <w:spacing w:after="0" w:line="240" w:lineRule="auto"/>
              <w:jc w:val="center"/>
              <w:rPr>
                <w:sz w:val="16"/>
                <w:szCs w:val="16"/>
              </w:rPr>
            </w:pPr>
            <w:r>
              <w:rPr>
                <w:sz w:val="16"/>
                <w:szCs w:val="16"/>
              </w:rPr>
              <w:t>20</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4F" w14:textId="77777777" w:rsidR="00031725" w:rsidRDefault="00000000">
            <w:pPr>
              <w:spacing w:after="0" w:line="240" w:lineRule="auto"/>
              <w:rPr>
                <w:sz w:val="16"/>
                <w:szCs w:val="16"/>
              </w:rPr>
            </w:pPr>
            <w:r>
              <w:rPr>
                <w:sz w:val="16"/>
                <w:szCs w:val="16"/>
              </w:rPr>
              <w:t>Marcelo</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50" w14:textId="77777777" w:rsidR="00031725" w:rsidRDefault="00000000">
            <w:pPr>
              <w:spacing w:after="0" w:line="240" w:lineRule="auto"/>
              <w:rPr>
                <w:sz w:val="16"/>
                <w:szCs w:val="16"/>
              </w:rPr>
            </w:pPr>
            <w:r>
              <w:rPr>
                <w:sz w:val="16"/>
                <w:szCs w:val="16"/>
              </w:rPr>
              <w:t>Garcia</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51" w14:textId="77777777" w:rsidR="00031725" w:rsidRDefault="00000000">
            <w:pPr>
              <w:spacing w:after="0" w:line="240" w:lineRule="auto"/>
              <w:rPr>
                <w:sz w:val="16"/>
                <w:szCs w:val="16"/>
              </w:rPr>
            </w:pPr>
            <w:r>
              <w:rPr>
                <w:sz w:val="16"/>
                <w:szCs w:val="16"/>
              </w:rPr>
              <w:t>Library Systems &amp; Integrated Services Lead</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52" w14:textId="77777777" w:rsidR="00031725" w:rsidRDefault="00000000">
            <w:pPr>
              <w:spacing w:after="0" w:line="240" w:lineRule="auto"/>
              <w:rPr>
                <w:sz w:val="16"/>
                <w:szCs w:val="16"/>
              </w:rPr>
            </w:pPr>
            <w:r>
              <w:rPr>
                <w:sz w:val="16"/>
                <w:szCs w:val="16"/>
              </w:rPr>
              <w:t>King Abdullah University of Science and Technology (KAUST)</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53" w14:textId="77777777" w:rsidR="00031725" w:rsidRDefault="00000000">
            <w:pPr>
              <w:spacing w:after="0" w:line="240" w:lineRule="auto"/>
              <w:rPr>
                <w:sz w:val="16"/>
                <w:szCs w:val="16"/>
              </w:rPr>
            </w:pPr>
            <w:r>
              <w:rPr>
                <w:sz w:val="16"/>
                <w:szCs w:val="16"/>
              </w:rPr>
              <w:t>Saudi Arabia</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54" w14:textId="77777777" w:rsidR="00031725" w:rsidRDefault="00031725">
            <w:pPr>
              <w:spacing w:after="0" w:line="240" w:lineRule="auto"/>
              <w:rPr>
                <w:sz w:val="16"/>
                <w:szCs w:val="16"/>
              </w:rPr>
            </w:pPr>
          </w:p>
        </w:tc>
      </w:tr>
      <w:tr w:rsidR="00031725" w14:paraId="6F9FD105"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55" w14:textId="77777777" w:rsidR="00031725" w:rsidRDefault="00000000">
            <w:pPr>
              <w:spacing w:after="0" w:line="240" w:lineRule="auto"/>
              <w:jc w:val="center"/>
              <w:rPr>
                <w:sz w:val="16"/>
                <w:szCs w:val="16"/>
              </w:rPr>
            </w:pPr>
            <w:r>
              <w:rPr>
                <w:sz w:val="16"/>
                <w:szCs w:val="16"/>
              </w:rPr>
              <w:t>21</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56" w14:textId="77777777" w:rsidR="00031725" w:rsidRDefault="00000000">
            <w:pPr>
              <w:spacing w:after="0" w:line="240" w:lineRule="auto"/>
              <w:rPr>
                <w:sz w:val="16"/>
                <w:szCs w:val="16"/>
              </w:rPr>
            </w:pPr>
            <w:r>
              <w:rPr>
                <w:sz w:val="16"/>
                <w:szCs w:val="16"/>
              </w:rPr>
              <w:t>Mohit</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57" w14:textId="77777777" w:rsidR="00031725" w:rsidRDefault="00000000">
            <w:pPr>
              <w:spacing w:after="0" w:line="240" w:lineRule="auto"/>
              <w:rPr>
                <w:sz w:val="16"/>
                <w:szCs w:val="16"/>
              </w:rPr>
            </w:pPr>
            <w:r>
              <w:rPr>
                <w:sz w:val="16"/>
                <w:szCs w:val="16"/>
              </w:rPr>
              <w:t>Garg</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58" w14:textId="77777777" w:rsidR="00031725" w:rsidRDefault="00000000">
            <w:pPr>
              <w:spacing w:after="0" w:line="240" w:lineRule="auto"/>
              <w:rPr>
                <w:sz w:val="16"/>
                <w:szCs w:val="16"/>
              </w:rPr>
            </w:pPr>
            <w:r>
              <w:rPr>
                <w:sz w:val="16"/>
                <w:szCs w:val="16"/>
              </w:rPr>
              <w:t>Assistant Librarian</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59" w14:textId="77777777" w:rsidR="00031725" w:rsidRDefault="00000000">
            <w:pPr>
              <w:spacing w:after="0" w:line="240" w:lineRule="auto"/>
              <w:rPr>
                <w:sz w:val="16"/>
                <w:szCs w:val="16"/>
              </w:rPr>
            </w:pPr>
            <w:r>
              <w:rPr>
                <w:sz w:val="16"/>
                <w:szCs w:val="16"/>
              </w:rPr>
              <w:t>Indian Institute of Technology Delhi (IIT Delhi)</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5A" w14:textId="77777777" w:rsidR="00031725" w:rsidRDefault="00000000">
            <w:pPr>
              <w:spacing w:after="0" w:line="240" w:lineRule="auto"/>
              <w:rPr>
                <w:sz w:val="16"/>
                <w:szCs w:val="16"/>
              </w:rPr>
            </w:pPr>
            <w:r>
              <w:rPr>
                <w:sz w:val="16"/>
                <w:szCs w:val="16"/>
              </w:rPr>
              <w:t>India</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5B" w14:textId="77777777" w:rsidR="00031725" w:rsidRDefault="00031725">
            <w:pPr>
              <w:spacing w:after="0" w:line="240" w:lineRule="auto"/>
              <w:rPr>
                <w:sz w:val="16"/>
                <w:szCs w:val="16"/>
              </w:rPr>
            </w:pPr>
          </w:p>
        </w:tc>
      </w:tr>
      <w:tr w:rsidR="00031725" w14:paraId="6122927E" w14:textId="77777777">
        <w:trPr>
          <w:trHeight w:val="43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5C" w14:textId="77777777" w:rsidR="00031725" w:rsidRDefault="00000000">
            <w:pPr>
              <w:spacing w:after="0" w:line="240" w:lineRule="auto"/>
              <w:jc w:val="center"/>
              <w:rPr>
                <w:sz w:val="16"/>
                <w:szCs w:val="16"/>
              </w:rPr>
            </w:pPr>
            <w:r>
              <w:rPr>
                <w:sz w:val="16"/>
                <w:szCs w:val="16"/>
              </w:rPr>
              <w:t>22</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5D" w14:textId="77777777" w:rsidR="00031725" w:rsidRDefault="00000000">
            <w:pPr>
              <w:spacing w:after="0" w:line="240" w:lineRule="auto"/>
              <w:rPr>
                <w:sz w:val="16"/>
                <w:szCs w:val="16"/>
              </w:rPr>
            </w:pPr>
            <w:r>
              <w:rPr>
                <w:sz w:val="16"/>
                <w:szCs w:val="16"/>
              </w:rPr>
              <w:t>Su Nee</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5E" w14:textId="77777777" w:rsidR="00031725" w:rsidRDefault="00000000">
            <w:pPr>
              <w:spacing w:after="0" w:line="240" w:lineRule="auto"/>
              <w:rPr>
                <w:sz w:val="16"/>
                <w:szCs w:val="16"/>
              </w:rPr>
            </w:pPr>
            <w:r>
              <w:rPr>
                <w:sz w:val="16"/>
                <w:szCs w:val="16"/>
              </w:rPr>
              <w:t>Goh</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5F" w14:textId="77777777" w:rsidR="00031725" w:rsidRDefault="00000000">
            <w:pPr>
              <w:spacing w:after="0" w:line="240" w:lineRule="auto"/>
              <w:rPr>
                <w:sz w:val="16"/>
                <w:szCs w:val="16"/>
              </w:rPr>
            </w:pPr>
            <w:r>
              <w:rPr>
                <w:sz w:val="16"/>
                <w:szCs w:val="16"/>
              </w:rPr>
              <w:t>Librarian</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60" w14:textId="77777777" w:rsidR="00031725" w:rsidRDefault="00000000">
            <w:pPr>
              <w:spacing w:after="0" w:line="240" w:lineRule="auto"/>
              <w:rPr>
                <w:sz w:val="16"/>
                <w:szCs w:val="16"/>
              </w:rPr>
            </w:pPr>
            <w:r>
              <w:rPr>
                <w:sz w:val="16"/>
                <w:szCs w:val="16"/>
              </w:rPr>
              <w:t>Nanyang Technological University</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61" w14:textId="77777777" w:rsidR="00031725" w:rsidRDefault="00000000">
            <w:pPr>
              <w:spacing w:after="0" w:line="240" w:lineRule="auto"/>
              <w:rPr>
                <w:sz w:val="16"/>
                <w:szCs w:val="16"/>
              </w:rPr>
            </w:pPr>
            <w:r>
              <w:rPr>
                <w:sz w:val="16"/>
                <w:szCs w:val="16"/>
              </w:rPr>
              <w:t>Singapore</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62" w14:textId="77777777" w:rsidR="00031725" w:rsidRDefault="00031725">
            <w:pPr>
              <w:spacing w:after="0" w:line="240" w:lineRule="auto"/>
              <w:rPr>
                <w:sz w:val="16"/>
                <w:szCs w:val="16"/>
              </w:rPr>
            </w:pPr>
          </w:p>
        </w:tc>
      </w:tr>
      <w:tr w:rsidR="00031725" w14:paraId="065AD859"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63" w14:textId="77777777" w:rsidR="00031725" w:rsidRDefault="00000000">
            <w:pPr>
              <w:spacing w:after="0" w:line="240" w:lineRule="auto"/>
              <w:jc w:val="center"/>
              <w:rPr>
                <w:sz w:val="16"/>
                <w:szCs w:val="16"/>
              </w:rPr>
            </w:pPr>
            <w:r>
              <w:rPr>
                <w:sz w:val="16"/>
                <w:szCs w:val="16"/>
              </w:rPr>
              <w:t>23</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64" w14:textId="77777777" w:rsidR="00031725" w:rsidRDefault="00000000">
            <w:pPr>
              <w:spacing w:after="0" w:line="240" w:lineRule="auto"/>
              <w:rPr>
                <w:sz w:val="16"/>
                <w:szCs w:val="16"/>
              </w:rPr>
            </w:pPr>
            <w:r>
              <w:rPr>
                <w:sz w:val="16"/>
                <w:szCs w:val="16"/>
              </w:rPr>
              <w:t>Cristina</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65" w14:textId="77777777" w:rsidR="00031725" w:rsidRDefault="00000000">
            <w:pPr>
              <w:spacing w:after="0" w:line="240" w:lineRule="auto"/>
              <w:rPr>
                <w:sz w:val="16"/>
                <w:szCs w:val="16"/>
              </w:rPr>
            </w:pPr>
            <w:r>
              <w:rPr>
                <w:sz w:val="16"/>
                <w:szCs w:val="16"/>
              </w:rPr>
              <w:t>Gonzalez</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66" w14:textId="77777777" w:rsidR="00031725" w:rsidRDefault="00000000">
            <w:pPr>
              <w:spacing w:after="0" w:line="240" w:lineRule="auto"/>
              <w:rPr>
                <w:sz w:val="16"/>
                <w:szCs w:val="16"/>
              </w:rPr>
            </w:pPr>
            <w:r>
              <w:rPr>
                <w:sz w:val="16"/>
                <w:szCs w:val="16"/>
              </w:rPr>
              <w:t>AI Data Specialist</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67" w14:textId="77777777" w:rsidR="00031725" w:rsidRDefault="00000000">
            <w:pPr>
              <w:spacing w:after="0" w:line="240" w:lineRule="auto"/>
              <w:rPr>
                <w:sz w:val="16"/>
                <w:szCs w:val="16"/>
              </w:rPr>
            </w:pPr>
            <w:r>
              <w:rPr>
                <w:sz w:val="16"/>
                <w:szCs w:val="16"/>
              </w:rPr>
              <w:t>Senscience</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68" w14:textId="77777777" w:rsidR="00031725" w:rsidRDefault="00000000">
            <w:pPr>
              <w:spacing w:after="0" w:line="240" w:lineRule="auto"/>
              <w:rPr>
                <w:sz w:val="16"/>
                <w:szCs w:val="16"/>
              </w:rPr>
            </w:pPr>
            <w:r>
              <w:rPr>
                <w:sz w:val="16"/>
                <w:szCs w:val="16"/>
              </w:rPr>
              <w:t>Switzerland</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69" w14:textId="77777777" w:rsidR="00031725" w:rsidRDefault="00031725">
            <w:pPr>
              <w:spacing w:after="0" w:line="240" w:lineRule="auto"/>
              <w:rPr>
                <w:sz w:val="16"/>
                <w:szCs w:val="16"/>
              </w:rPr>
            </w:pPr>
          </w:p>
        </w:tc>
      </w:tr>
      <w:tr w:rsidR="00031725" w14:paraId="662A8960"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6A" w14:textId="77777777" w:rsidR="00031725" w:rsidRDefault="00000000">
            <w:pPr>
              <w:spacing w:after="0" w:line="240" w:lineRule="auto"/>
              <w:jc w:val="center"/>
              <w:rPr>
                <w:sz w:val="16"/>
                <w:szCs w:val="16"/>
              </w:rPr>
            </w:pPr>
            <w:r>
              <w:rPr>
                <w:sz w:val="16"/>
                <w:szCs w:val="16"/>
              </w:rPr>
              <w:t>24</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6B" w14:textId="77777777" w:rsidR="00031725" w:rsidRDefault="00000000">
            <w:pPr>
              <w:spacing w:after="0" w:line="240" w:lineRule="auto"/>
              <w:rPr>
                <w:sz w:val="16"/>
                <w:szCs w:val="16"/>
              </w:rPr>
            </w:pPr>
            <w:r>
              <w:rPr>
                <w:sz w:val="16"/>
                <w:szCs w:val="16"/>
              </w:rPr>
              <w:t>Ritu</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6C" w14:textId="77777777" w:rsidR="00031725" w:rsidRDefault="00000000">
            <w:pPr>
              <w:spacing w:after="0" w:line="240" w:lineRule="auto"/>
              <w:rPr>
                <w:sz w:val="16"/>
                <w:szCs w:val="16"/>
              </w:rPr>
            </w:pPr>
            <w:r>
              <w:rPr>
                <w:sz w:val="16"/>
                <w:szCs w:val="16"/>
              </w:rPr>
              <w:t>Gupta</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6D" w14:textId="77777777" w:rsidR="00031725" w:rsidRDefault="00000000">
            <w:pPr>
              <w:spacing w:after="0" w:line="240" w:lineRule="auto"/>
              <w:rPr>
                <w:sz w:val="16"/>
                <w:szCs w:val="16"/>
              </w:rPr>
            </w:pPr>
            <w:r>
              <w:rPr>
                <w:sz w:val="16"/>
                <w:szCs w:val="16"/>
              </w:rPr>
              <w:t>Business Process Consultant</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6E" w14:textId="77777777" w:rsidR="00031725" w:rsidRDefault="00000000">
            <w:pPr>
              <w:spacing w:after="0" w:line="240" w:lineRule="auto"/>
              <w:rPr>
                <w:sz w:val="16"/>
                <w:szCs w:val="16"/>
              </w:rPr>
            </w:pPr>
            <w:r>
              <w:rPr>
                <w:sz w:val="16"/>
                <w:szCs w:val="16"/>
              </w:rPr>
              <w:t>University of Michigan</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6F" w14:textId="77777777" w:rsidR="00031725" w:rsidRDefault="00000000">
            <w:pPr>
              <w:spacing w:after="0" w:line="240" w:lineRule="auto"/>
              <w:rPr>
                <w:sz w:val="16"/>
                <w:szCs w:val="16"/>
              </w:rPr>
            </w:pPr>
            <w:r>
              <w:rPr>
                <w:sz w:val="16"/>
                <w:szCs w:val="16"/>
              </w:rPr>
              <w:t>United States</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70" w14:textId="77777777" w:rsidR="00031725" w:rsidRDefault="00031725">
            <w:pPr>
              <w:spacing w:after="0" w:line="240" w:lineRule="auto"/>
              <w:rPr>
                <w:sz w:val="16"/>
                <w:szCs w:val="16"/>
              </w:rPr>
            </w:pPr>
          </w:p>
        </w:tc>
      </w:tr>
      <w:tr w:rsidR="00031725" w14:paraId="08E506D0"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71" w14:textId="77777777" w:rsidR="00031725" w:rsidRDefault="00000000">
            <w:pPr>
              <w:spacing w:after="0" w:line="240" w:lineRule="auto"/>
              <w:jc w:val="center"/>
              <w:rPr>
                <w:sz w:val="16"/>
                <w:szCs w:val="16"/>
              </w:rPr>
            </w:pPr>
            <w:r>
              <w:rPr>
                <w:sz w:val="16"/>
                <w:szCs w:val="16"/>
              </w:rPr>
              <w:t>25</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72" w14:textId="77777777" w:rsidR="00031725" w:rsidRDefault="00000000">
            <w:pPr>
              <w:spacing w:after="0" w:line="240" w:lineRule="auto"/>
              <w:rPr>
                <w:sz w:val="16"/>
                <w:szCs w:val="16"/>
              </w:rPr>
            </w:pPr>
            <w:r>
              <w:rPr>
                <w:sz w:val="16"/>
                <w:szCs w:val="16"/>
              </w:rPr>
              <w:t>Joe</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73" w14:textId="77777777" w:rsidR="00031725" w:rsidRDefault="00000000">
            <w:pPr>
              <w:spacing w:after="0" w:line="240" w:lineRule="auto"/>
              <w:rPr>
                <w:sz w:val="16"/>
                <w:szCs w:val="16"/>
              </w:rPr>
            </w:pPr>
            <w:r>
              <w:rPr>
                <w:sz w:val="16"/>
                <w:szCs w:val="16"/>
              </w:rPr>
              <w:t>Heffer</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74" w14:textId="77777777" w:rsidR="00031725" w:rsidRDefault="00000000">
            <w:pPr>
              <w:spacing w:after="0" w:line="240" w:lineRule="auto"/>
              <w:rPr>
                <w:sz w:val="16"/>
                <w:szCs w:val="16"/>
              </w:rPr>
            </w:pPr>
            <w:r>
              <w:rPr>
                <w:sz w:val="16"/>
                <w:szCs w:val="16"/>
              </w:rPr>
              <w:t>Senior Research Data Engineer</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75" w14:textId="77777777" w:rsidR="00031725" w:rsidRDefault="00000000">
            <w:pPr>
              <w:spacing w:after="0" w:line="240" w:lineRule="auto"/>
              <w:rPr>
                <w:sz w:val="16"/>
                <w:szCs w:val="16"/>
              </w:rPr>
            </w:pPr>
            <w:r>
              <w:rPr>
                <w:sz w:val="16"/>
                <w:szCs w:val="16"/>
              </w:rPr>
              <w:t>University of Sheffield</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76" w14:textId="77777777" w:rsidR="00031725" w:rsidRDefault="00000000">
            <w:pPr>
              <w:spacing w:after="0" w:line="240" w:lineRule="auto"/>
              <w:rPr>
                <w:sz w:val="16"/>
                <w:szCs w:val="16"/>
              </w:rPr>
            </w:pPr>
            <w:r>
              <w:rPr>
                <w:sz w:val="16"/>
                <w:szCs w:val="16"/>
              </w:rPr>
              <w:t>United Kingdom</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77" w14:textId="77777777" w:rsidR="00031725" w:rsidRDefault="00031725">
            <w:pPr>
              <w:spacing w:after="0" w:line="240" w:lineRule="auto"/>
              <w:rPr>
                <w:sz w:val="16"/>
                <w:szCs w:val="16"/>
              </w:rPr>
            </w:pPr>
            <w:hyperlink r:id="rId235">
              <w:r>
                <w:rPr>
                  <w:color w:val="1155CC"/>
                  <w:sz w:val="16"/>
                  <w:szCs w:val="16"/>
                  <w:u w:val="single"/>
                </w:rPr>
                <w:t>0000-0001-8733-1117</w:t>
              </w:r>
            </w:hyperlink>
            <w:r>
              <w:rPr>
                <w:sz w:val="16"/>
                <w:szCs w:val="16"/>
              </w:rPr>
              <w:t xml:space="preserve"> </w:t>
            </w:r>
          </w:p>
        </w:tc>
      </w:tr>
      <w:tr w:rsidR="00031725" w14:paraId="5543125B"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78" w14:textId="77777777" w:rsidR="00031725" w:rsidRDefault="00000000">
            <w:pPr>
              <w:spacing w:after="0" w:line="240" w:lineRule="auto"/>
              <w:jc w:val="center"/>
              <w:rPr>
                <w:sz w:val="16"/>
                <w:szCs w:val="16"/>
              </w:rPr>
            </w:pPr>
            <w:r>
              <w:rPr>
                <w:sz w:val="16"/>
                <w:szCs w:val="16"/>
              </w:rPr>
              <w:t>26</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79" w14:textId="77777777" w:rsidR="00031725" w:rsidRDefault="00000000">
            <w:pPr>
              <w:spacing w:after="0" w:line="240" w:lineRule="auto"/>
              <w:rPr>
                <w:sz w:val="16"/>
                <w:szCs w:val="16"/>
              </w:rPr>
            </w:pPr>
            <w:r>
              <w:rPr>
                <w:sz w:val="16"/>
                <w:szCs w:val="16"/>
              </w:rPr>
              <w:t>Simon</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7A" w14:textId="77777777" w:rsidR="00031725" w:rsidRDefault="00000000">
            <w:pPr>
              <w:spacing w:after="0" w:line="240" w:lineRule="auto"/>
              <w:rPr>
                <w:sz w:val="16"/>
                <w:szCs w:val="16"/>
              </w:rPr>
            </w:pPr>
            <w:r>
              <w:rPr>
                <w:sz w:val="16"/>
                <w:szCs w:val="16"/>
              </w:rPr>
              <w:t>Hodson</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7B" w14:textId="77777777" w:rsidR="00031725" w:rsidRDefault="00000000">
            <w:pPr>
              <w:spacing w:after="0" w:line="240" w:lineRule="auto"/>
              <w:rPr>
                <w:sz w:val="16"/>
                <w:szCs w:val="16"/>
              </w:rPr>
            </w:pPr>
            <w:r>
              <w:rPr>
                <w:sz w:val="16"/>
                <w:szCs w:val="16"/>
              </w:rPr>
              <w:t>Executive Director</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7C" w14:textId="77777777" w:rsidR="00031725" w:rsidRDefault="00000000">
            <w:pPr>
              <w:spacing w:after="0" w:line="240" w:lineRule="auto"/>
              <w:rPr>
                <w:sz w:val="16"/>
                <w:szCs w:val="16"/>
              </w:rPr>
            </w:pPr>
            <w:r>
              <w:rPr>
                <w:sz w:val="16"/>
                <w:szCs w:val="16"/>
              </w:rPr>
              <w:t>Committee on Data of the International Science Council (CODATA)</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7D" w14:textId="77777777" w:rsidR="00031725" w:rsidRDefault="00000000">
            <w:pPr>
              <w:spacing w:after="0" w:line="240" w:lineRule="auto"/>
              <w:rPr>
                <w:sz w:val="16"/>
                <w:szCs w:val="16"/>
              </w:rPr>
            </w:pPr>
            <w:r>
              <w:rPr>
                <w:sz w:val="16"/>
                <w:szCs w:val="16"/>
              </w:rPr>
              <w:t>France</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7E" w14:textId="77777777" w:rsidR="00031725" w:rsidRDefault="00031725">
            <w:pPr>
              <w:spacing w:after="0" w:line="240" w:lineRule="auto"/>
              <w:rPr>
                <w:sz w:val="16"/>
                <w:szCs w:val="16"/>
              </w:rPr>
            </w:pPr>
          </w:p>
        </w:tc>
      </w:tr>
      <w:tr w:rsidR="00031725" w14:paraId="09242120" w14:textId="77777777">
        <w:trPr>
          <w:trHeight w:val="43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7F" w14:textId="77777777" w:rsidR="00031725" w:rsidRDefault="00000000">
            <w:pPr>
              <w:spacing w:after="0" w:line="240" w:lineRule="auto"/>
              <w:jc w:val="center"/>
              <w:rPr>
                <w:sz w:val="16"/>
                <w:szCs w:val="16"/>
              </w:rPr>
            </w:pPr>
            <w:r>
              <w:rPr>
                <w:sz w:val="16"/>
                <w:szCs w:val="16"/>
              </w:rPr>
              <w:t>27</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80" w14:textId="77777777" w:rsidR="00031725" w:rsidRDefault="00000000">
            <w:pPr>
              <w:spacing w:after="0" w:line="240" w:lineRule="auto"/>
              <w:rPr>
                <w:sz w:val="16"/>
                <w:szCs w:val="16"/>
              </w:rPr>
            </w:pPr>
            <w:r>
              <w:rPr>
                <w:sz w:val="16"/>
                <w:szCs w:val="16"/>
              </w:rPr>
              <w:t>Jenn</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81" w14:textId="77777777" w:rsidR="00031725" w:rsidRDefault="00000000">
            <w:pPr>
              <w:spacing w:after="0" w:line="240" w:lineRule="auto"/>
              <w:rPr>
                <w:sz w:val="16"/>
                <w:szCs w:val="16"/>
              </w:rPr>
            </w:pPr>
            <w:r>
              <w:rPr>
                <w:sz w:val="16"/>
                <w:szCs w:val="16"/>
              </w:rPr>
              <w:t>Huck</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82" w14:textId="77777777" w:rsidR="00031725" w:rsidRDefault="00000000">
            <w:pPr>
              <w:spacing w:after="0" w:line="240" w:lineRule="auto"/>
              <w:rPr>
                <w:sz w:val="16"/>
                <w:szCs w:val="16"/>
              </w:rPr>
            </w:pPr>
            <w:r>
              <w:rPr>
                <w:sz w:val="16"/>
                <w:szCs w:val="16"/>
              </w:rPr>
              <w:t>Associate Director, Research Data Services</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83" w14:textId="77777777" w:rsidR="00031725" w:rsidRDefault="00000000">
            <w:pPr>
              <w:spacing w:after="0" w:line="240" w:lineRule="auto"/>
              <w:rPr>
                <w:sz w:val="16"/>
                <w:szCs w:val="16"/>
              </w:rPr>
            </w:pPr>
            <w:r>
              <w:rPr>
                <w:sz w:val="16"/>
                <w:szCs w:val="16"/>
              </w:rPr>
              <w:t>University of Virginia</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84" w14:textId="77777777" w:rsidR="00031725" w:rsidRDefault="00000000">
            <w:pPr>
              <w:spacing w:after="0" w:line="240" w:lineRule="auto"/>
              <w:rPr>
                <w:sz w:val="16"/>
                <w:szCs w:val="16"/>
              </w:rPr>
            </w:pPr>
            <w:r>
              <w:rPr>
                <w:sz w:val="16"/>
                <w:szCs w:val="16"/>
              </w:rPr>
              <w:t>United States</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85" w14:textId="29484B57" w:rsidR="00031725" w:rsidRPr="001C265D" w:rsidRDefault="001C265D" w:rsidP="001C265D">
            <w:pPr>
              <w:rPr>
                <w:sz w:val="16"/>
                <w:szCs w:val="16"/>
              </w:rPr>
            </w:pPr>
            <w:hyperlink r:id="rId236" w:history="1">
              <w:r w:rsidRPr="001C265D">
                <w:rPr>
                  <w:rStyle w:val="Hyperlink"/>
                  <w:color w:val="0F55CC"/>
                  <w:sz w:val="16"/>
                  <w:szCs w:val="16"/>
                  <w:shd w:val="clear" w:color="auto" w:fill="FFFFFF"/>
                </w:rPr>
                <w:t>0000-0003-4945-839X</w:t>
              </w:r>
            </w:hyperlink>
          </w:p>
        </w:tc>
      </w:tr>
      <w:tr w:rsidR="00031725" w14:paraId="4A1789F6"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86" w14:textId="77777777" w:rsidR="00031725" w:rsidRDefault="00000000">
            <w:pPr>
              <w:spacing w:after="0" w:line="240" w:lineRule="auto"/>
              <w:jc w:val="center"/>
              <w:rPr>
                <w:sz w:val="16"/>
                <w:szCs w:val="16"/>
              </w:rPr>
            </w:pPr>
            <w:r>
              <w:rPr>
                <w:sz w:val="16"/>
                <w:szCs w:val="16"/>
              </w:rPr>
              <w:t>28</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87" w14:textId="77777777" w:rsidR="00031725" w:rsidRDefault="00000000">
            <w:pPr>
              <w:spacing w:after="0" w:line="240" w:lineRule="auto"/>
              <w:rPr>
                <w:sz w:val="16"/>
                <w:szCs w:val="16"/>
              </w:rPr>
            </w:pPr>
            <w:r>
              <w:rPr>
                <w:sz w:val="16"/>
                <w:szCs w:val="16"/>
              </w:rPr>
              <w:t>Maximilian</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88" w14:textId="77777777" w:rsidR="00031725" w:rsidRDefault="00000000">
            <w:pPr>
              <w:spacing w:after="0" w:line="240" w:lineRule="auto"/>
              <w:rPr>
                <w:sz w:val="16"/>
                <w:szCs w:val="16"/>
              </w:rPr>
            </w:pPr>
            <w:r>
              <w:rPr>
                <w:sz w:val="16"/>
                <w:szCs w:val="16"/>
              </w:rPr>
              <w:t>Inckmann</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89" w14:textId="77777777" w:rsidR="00031725" w:rsidRDefault="00000000">
            <w:pPr>
              <w:spacing w:after="0" w:line="240" w:lineRule="auto"/>
              <w:rPr>
                <w:sz w:val="16"/>
                <w:szCs w:val="16"/>
              </w:rPr>
            </w:pPr>
            <w:r>
              <w:rPr>
                <w:sz w:val="16"/>
                <w:szCs w:val="16"/>
              </w:rPr>
              <w:t>Researcher</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8A" w14:textId="77777777" w:rsidR="00031725" w:rsidRDefault="00000000">
            <w:pPr>
              <w:spacing w:after="0" w:line="240" w:lineRule="auto"/>
              <w:rPr>
                <w:sz w:val="16"/>
                <w:szCs w:val="16"/>
              </w:rPr>
            </w:pPr>
            <w:r>
              <w:rPr>
                <w:sz w:val="16"/>
                <w:szCs w:val="16"/>
              </w:rPr>
              <w:t>Karlsruhe Institute of Technology (KIT)</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8B" w14:textId="77777777" w:rsidR="00031725" w:rsidRDefault="00000000">
            <w:pPr>
              <w:spacing w:after="0" w:line="240" w:lineRule="auto"/>
              <w:rPr>
                <w:sz w:val="16"/>
                <w:szCs w:val="16"/>
              </w:rPr>
            </w:pPr>
            <w:r>
              <w:rPr>
                <w:sz w:val="16"/>
                <w:szCs w:val="16"/>
              </w:rPr>
              <w:t>Germany</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8C" w14:textId="77777777" w:rsidR="00031725" w:rsidRDefault="00031725">
            <w:pPr>
              <w:spacing w:after="0" w:line="240" w:lineRule="auto"/>
              <w:rPr>
                <w:sz w:val="16"/>
                <w:szCs w:val="16"/>
              </w:rPr>
            </w:pPr>
            <w:hyperlink r:id="rId237">
              <w:r>
                <w:rPr>
                  <w:color w:val="1155CC"/>
                  <w:sz w:val="16"/>
                  <w:szCs w:val="16"/>
                  <w:u w:val="single"/>
                </w:rPr>
                <w:t xml:space="preserve">             0009-0005-2800-4833</w:t>
              </w:r>
            </w:hyperlink>
          </w:p>
        </w:tc>
      </w:tr>
      <w:tr w:rsidR="00031725" w14:paraId="04148B32"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8D" w14:textId="77777777" w:rsidR="00031725" w:rsidRDefault="00000000">
            <w:pPr>
              <w:spacing w:after="0" w:line="240" w:lineRule="auto"/>
              <w:jc w:val="center"/>
              <w:rPr>
                <w:sz w:val="16"/>
                <w:szCs w:val="16"/>
              </w:rPr>
            </w:pPr>
            <w:r>
              <w:rPr>
                <w:sz w:val="16"/>
                <w:szCs w:val="16"/>
              </w:rPr>
              <w:t>29</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8E" w14:textId="77777777" w:rsidR="00031725" w:rsidRDefault="00000000">
            <w:pPr>
              <w:spacing w:after="0" w:line="240" w:lineRule="auto"/>
              <w:rPr>
                <w:sz w:val="16"/>
                <w:szCs w:val="16"/>
              </w:rPr>
            </w:pPr>
            <w:r>
              <w:rPr>
                <w:sz w:val="16"/>
                <w:szCs w:val="16"/>
              </w:rPr>
              <w:t>Agate</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8F" w14:textId="77777777" w:rsidR="00031725" w:rsidRDefault="00000000">
            <w:pPr>
              <w:spacing w:after="0" w:line="240" w:lineRule="auto"/>
              <w:rPr>
                <w:sz w:val="16"/>
                <w:szCs w:val="16"/>
              </w:rPr>
            </w:pPr>
            <w:r>
              <w:rPr>
                <w:sz w:val="16"/>
                <w:szCs w:val="16"/>
              </w:rPr>
              <w:t>Jarmakoviča</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90" w14:textId="77777777" w:rsidR="00031725" w:rsidRDefault="00000000">
            <w:pPr>
              <w:spacing w:after="0" w:line="240" w:lineRule="auto"/>
              <w:rPr>
                <w:sz w:val="16"/>
                <w:szCs w:val="16"/>
              </w:rPr>
            </w:pPr>
            <w:r>
              <w:rPr>
                <w:sz w:val="16"/>
                <w:szCs w:val="16"/>
              </w:rPr>
              <w:t>Data Steward</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91" w14:textId="77777777" w:rsidR="00031725" w:rsidRDefault="00000000">
            <w:pPr>
              <w:spacing w:after="0" w:line="240" w:lineRule="auto"/>
              <w:rPr>
                <w:sz w:val="16"/>
                <w:szCs w:val="16"/>
              </w:rPr>
            </w:pPr>
            <w:r>
              <w:rPr>
                <w:sz w:val="16"/>
                <w:szCs w:val="16"/>
              </w:rPr>
              <w:t>Rīgas Stradiņš University (RSU)</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92" w14:textId="77777777" w:rsidR="00031725" w:rsidRDefault="00000000">
            <w:pPr>
              <w:spacing w:after="0" w:line="240" w:lineRule="auto"/>
              <w:rPr>
                <w:sz w:val="16"/>
                <w:szCs w:val="16"/>
              </w:rPr>
            </w:pPr>
            <w:r>
              <w:rPr>
                <w:sz w:val="16"/>
                <w:szCs w:val="16"/>
              </w:rPr>
              <w:t>Latvia</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93" w14:textId="77777777" w:rsidR="00031725" w:rsidRDefault="00031725">
            <w:pPr>
              <w:spacing w:after="0" w:line="240" w:lineRule="auto"/>
              <w:rPr>
                <w:sz w:val="16"/>
                <w:szCs w:val="16"/>
              </w:rPr>
            </w:pPr>
          </w:p>
        </w:tc>
      </w:tr>
      <w:tr w:rsidR="00031725" w14:paraId="232CB510"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94" w14:textId="77777777" w:rsidR="00031725" w:rsidRDefault="00000000">
            <w:pPr>
              <w:spacing w:after="0" w:line="240" w:lineRule="auto"/>
              <w:jc w:val="center"/>
              <w:rPr>
                <w:sz w:val="16"/>
                <w:szCs w:val="16"/>
              </w:rPr>
            </w:pPr>
            <w:r>
              <w:rPr>
                <w:sz w:val="16"/>
                <w:szCs w:val="16"/>
              </w:rPr>
              <w:t>30</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95" w14:textId="77777777" w:rsidR="00031725" w:rsidRDefault="00000000">
            <w:pPr>
              <w:spacing w:after="0" w:line="240" w:lineRule="auto"/>
              <w:rPr>
                <w:sz w:val="16"/>
                <w:szCs w:val="16"/>
              </w:rPr>
            </w:pPr>
            <w:r>
              <w:rPr>
                <w:sz w:val="16"/>
                <w:szCs w:val="16"/>
              </w:rPr>
              <w:t>Seonyoung</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96" w14:textId="77777777" w:rsidR="00031725" w:rsidRDefault="00000000">
            <w:pPr>
              <w:spacing w:after="0" w:line="240" w:lineRule="auto"/>
              <w:rPr>
                <w:sz w:val="16"/>
                <w:szCs w:val="16"/>
              </w:rPr>
            </w:pPr>
            <w:r>
              <w:rPr>
                <w:sz w:val="16"/>
                <w:szCs w:val="16"/>
              </w:rPr>
              <w:t>Kim</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97" w14:textId="77777777" w:rsidR="00031725" w:rsidRDefault="00000000">
            <w:pPr>
              <w:spacing w:after="0" w:line="240" w:lineRule="auto"/>
              <w:rPr>
                <w:sz w:val="16"/>
                <w:szCs w:val="16"/>
              </w:rPr>
            </w:pPr>
            <w:r>
              <w:rPr>
                <w:sz w:val="16"/>
                <w:szCs w:val="16"/>
              </w:rPr>
              <w:t>Senior Support Scientist</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98" w14:textId="77777777" w:rsidR="00031725" w:rsidRDefault="00000000">
            <w:pPr>
              <w:spacing w:after="0" w:line="240" w:lineRule="auto"/>
              <w:rPr>
                <w:sz w:val="16"/>
                <w:szCs w:val="16"/>
              </w:rPr>
            </w:pPr>
            <w:r>
              <w:rPr>
                <w:sz w:val="16"/>
                <w:szCs w:val="16"/>
              </w:rPr>
              <w:t>Washington University</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99" w14:textId="77777777" w:rsidR="00031725" w:rsidRDefault="00000000">
            <w:pPr>
              <w:spacing w:after="0" w:line="240" w:lineRule="auto"/>
              <w:rPr>
                <w:sz w:val="16"/>
                <w:szCs w:val="16"/>
              </w:rPr>
            </w:pPr>
            <w:r>
              <w:rPr>
                <w:sz w:val="16"/>
                <w:szCs w:val="16"/>
              </w:rPr>
              <w:t>United States</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9A" w14:textId="77777777" w:rsidR="00031725" w:rsidRDefault="00031725">
            <w:pPr>
              <w:spacing w:after="0" w:line="240" w:lineRule="auto"/>
              <w:rPr>
                <w:sz w:val="16"/>
                <w:szCs w:val="16"/>
              </w:rPr>
            </w:pPr>
          </w:p>
        </w:tc>
      </w:tr>
      <w:tr w:rsidR="00031725" w14:paraId="052AEDA0"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9B" w14:textId="77777777" w:rsidR="00031725" w:rsidRDefault="00000000">
            <w:pPr>
              <w:spacing w:after="0" w:line="240" w:lineRule="auto"/>
              <w:jc w:val="center"/>
              <w:rPr>
                <w:sz w:val="16"/>
                <w:szCs w:val="16"/>
              </w:rPr>
            </w:pPr>
            <w:r>
              <w:rPr>
                <w:sz w:val="16"/>
                <w:szCs w:val="16"/>
              </w:rPr>
              <w:t>31</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9C" w14:textId="77777777" w:rsidR="00031725" w:rsidRDefault="00000000">
            <w:pPr>
              <w:spacing w:after="0" w:line="240" w:lineRule="auto"/>
              <w:rPr>
                <w:sz w:val="16"/>
                <w:szCs w:val="16"/>
              </w:rPr>
            </w:pPr>
            <w:r>
              <w:rPr>
                <w:sz w:val="16"/>
                <w:szCs w:val="16"/>
              </w:rPr>
              <w:t>Jens</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9D" w14:textId="77777777" w:rsidR="00031725" w:rsidRDefault="00000000">
            <w:pPr>
              <w:spacing w:after="0" w:line="240" w:lineRule="auto"/>
              <w:rPr>
                <w:sz w:val="16"/>
                <w:szCs w:val="16"/>
              </w:rPr>
            </w:pPr>
            <w:r>
              <w:rPr>
                <w:sz w:val="16"/>
                <w:szCs w:val="16"/>
              </w:rPr>
              <w:t>Klump</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9E" w14:textId="77777777" w:rsidR="00031725" w:rsidRDefault="00000000">
            <w:pPr>
              <w:spacing w:after="0" w:line="240" w:lineRule="auto"/>
              <w:rPr>
                <w:sz w:val="16"/>
                <w:szCs w:val="16"/>
              </w:rPr>
            </w:pPr>
            <w:r>
              <w:rPr>
                <w:sz w:val="16"/>
                <w:szCs w:val="16"/>
              </w:rPr>
              <w:t>Group Leader</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9F" w14:textId="77777777" w:rsidR="00031725" w:rsidRDefault="00000000">
            <w:pPr>
              <w:spacing w:after="0" w:line="240" w:lineRule="auto"/>
              <w:rPr>
                <w:sz w:val="16"/>
                <w:szCs w:val="16"/>
              </w:rPr>
            </w:pPr>
            <w:r>
              <w:rPr>
                <w:sz w:val="16"/>
                <w:szCs w:val="16"/>
              </w:rPr>
              <w:t>Commonwealth Scientific and Industrial Research Organisation (CSIRO) / AuScope</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A0" w14:textId="77777777" w:rsidR="00031725" w:rsidRDefault="00000000">
            <w:pPr>
              <w:spacing w:after="0" w:line="240" w:lineRule="auto"/>
              <w:rPr>
                <w:sz w:val="16"/>
                <w:szCs w:val="16"/>
              </w:rPr>
            </w:pPr>
            <w:r>
              <w:rPr>
                <w:sz w:val="16"/>
                <w:szCs w:val="16"/>
              </w:rPr>
              <w:t>Australia</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A1" w14:textId="77777777" w:rsidR="00031725" w:rsidRDefault="00031725">
            <w:pPr>
              <w:spacing w:after="0" w:line="240" w:lineRule="auto"/>
              <w:rPr>
                <w:sz w:val="16"/>
                <w:szCs w:val="16"/>
              </w:rPr>
            </w:pPr>
          </w:p>
        </w:tc>
      </w:tr>
      <w:tr w:rsidR="00031725" w14:paraId="5AEAB930"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A2" w14:textId="77777777" w:rsidR="00031725" w:rsidRDefault="00000000">
            <w:pPr>
              <w:spacing w:after="0" w:line="240" w:lineRule="auto"/>
              <w:jc w:val="center"/>
              <w:rPr>
                <w:sz w:val="16"/>
                <w:szCs w:val="16"/>
              </w:rPr>
            </w:pPr>
            <w:r>
              <w:rPr>
                <w:sz w:val="16"/>
                <w:szCs w:val="16"/>
              </w:rPr>
              <w:lastRenderedPageBreak/>
              <w:t>32</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A3" w14:textId="77777777" w:rsidR="00031725" w:rsidRDefault="00000000">
            <w:pPr>
              <w:spacing w:after="0" w:line="240" w:lineRule="auto"/>
              <w:rPr>
                <w:sz w:val="16"/>
                <w:szCs w:val="16"/>
              </w:rPr>
            </w:pPr>
            <w:r>
              <w:rPr>
                <w:sz w:val="16"/>
                <w:szCs w:val="16"/>
              </w:rPr>
              <w:t>Piotr</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A4" w14:textId="77777777" w:rsidR="00031725" w:rsidRDefault="00000000">
            <w:pPr>
              <w:spacing w:after="0" w:line="240" w:lineRule="auto"/>
              <w:rPr>
                <w:sz w:val="16"/>
                <w:szCs w:val="16"/>
              </w:rPr>
            </w:pPr>
            <w:r>
              <w:rPr>
                <w:sz w:val="16"/>
                <w:szCs w:val="16"/>
              </w:rPr>
              <w:t>Krajewski</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A5" w14:textId="77777777" w:rsidR="00031725" w:rsidRDefault="00000000">
            <w:pPr>
              <w:spacing w:after="0" w:line="240" w:lineRule="auto"/>
              <w:rPr>
                <w:sz w:val="16"/>
                <w:szCs w:val="16"/>
              </w:rPr>
            </w:pPr>
            <w:r>
              <w:rPr>
                <w:sz w:val="16"/>
                <w:szCs w:val="16"/>
              </w:rPr>
              <w:t>Data Steward</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A6" w14:textId="77777777" w:rsidR="00031725" w:rsidRDefault="00000000">
            <w:pPr>
              <w:spacing w:after="0" w:line="240" w:lineRule="auto"/>
              <w:rPr>
                <w:sz w:val="16"/>
                <w:szCs w:val="16"/>
              </w:rPr>
            </w:pPr>
            <w:r>
              <w:rPr>
                <w:sz w:val="16"/>
                <w:szCs w:val="16"/>
              </w:rPr>
              <w:t>Gdańsk University of Technology (Gdańsk Tech)</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A7" w14:textId="77777777" w:rsidR="00031725" w:rsidRDefault="00000000">
            <w:pPr>
              <w:spacing w:after="0" w:line="240" w:lineRule="auto"/>
              <w:rPr>
                <w:sz w:val="16"/>
                <w:szCs w:val="16"/>
              </w:rPr>
            </w:pPr>
            <w:r>
              <w:rPr>
                <w:sz w:val="16"/>
                <w:szCs w:val="16"/>
              </w:rPr>
              <w:t>Poland</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A8" w14:textId="77777777" w:rsidR="00031725" w:rsidRDefault="00031725">
            <w:pPr>
              <w:spacing w:after="0" w:line="240" w:lineRule="auto"/>
              <w:rPr>
                <w:sz w:val="16"/>
                <w:szCs w:val="16"/>
              </w:rPr>
            </w:pPr>
          </w:p>
        </w:tc>
      </w:tr>
      <w:tr w:rsidR="00031725" w14:paraId="79CF4AC3" w14:textId="77777777">
        <w:trPr>
          <w:trHeight w:val="43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A9" w14:textId="77777777" w:rsidR="00031725" w:rsidRDefault="00000000">
            <w:pPr>
              <w:spacing w:after="0" w:line="240" w:lineRule="auto"/>
              <w:jc w:val="center"/>
              <w:rPr>
                <w:sz w:val="16"/>
                <w:szCs w:val="16"/>
              </w:rPr>
            </w:pPr>
            <w:r>
              <w:rPr>
                <w:sz w:val="16"/>
                <w:szCs w:val="16"/>
              </w:rPr>
              <w:t>33</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AA" w14:textId="77777777" w:rsidR="00031725" w:rsidRDefault="00000000">
            <w:pPr>
              <w:spacing w:after="0" w:line="240" w:lineRule="auto"/>
              <w:rPr>
                <w:sz w:val="16"/>
                <w:szCs w:val="16"/>
              </w:rPr>
            </w:pPr>
            <w:r>
              <w:rPr>
                <w:sz w:val="16"/>
                <w:szCs w:val="16"/>
              </w:rPr>
              <w:t>Allyson</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AB" w14:textId="77777777" w:rsidR="00031725" w:rsidRDefault="00000000">
            <w:pPr>
              <w:spacing w:after="0" w:line="240" w:lineRule="auto"/>
              <w:rPr>
                <w:sz w:val="16"/>
                <w:szCs w:val="16"/>
              </w:rPr>
            </w:pPr>
            <w:r>
              <w:rPr>
                <w:sz w:val="16"/>
                <w:szCs w:val="16"/>
              </w:rPr>
              <w:t>Lister</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AC" w14:textId="77777777" w:rsidR="00031725" w:rsidRDefault="00000000">
            <w:pPr>
              <w:spacing w:after="0" w:line="240" w:lineRule="auto"/>
              <w:rPr>
                <w:sz w:val="16"/>
                <w:szCs w:val="16"/>
              </w:rPr>
            </w:pPr>
            <w:r>
              <w:rPr>
                <w:sz w:val="16"/>
                <w:szCs w:val="16"/>
              </w:rPr>
              <w:t>FAIRsharing Content &amp; Community Lead</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AD" w14:textId="77777777" w:rsidR="00031725" w:rsidRDefault="00000000">
            <w:pPr>
              <w:spacing w:after="0" w:line="240" w:lineRule="auto"/>
              <w:rPr>
                <w:sz w:val="16"/>
                <w:szCs w:val="16"/>
              </w:rPr>
            </w:pPr>
            <w:r>
              <w:rPr>
                <w:sz w:val="16"/>
                <w:szCs w:val="16"/>
              </w:rPr>
              <w:t>University of Oxford</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AE" w14:textId="77777777" w:rsidR="00031725" w:rsidRDefault="00000000">
            <w:pPr>
              <w:spacing w:after="0" w:line="240" w:lineRule="auto"/>
              <w:rPr>
                <w:sz w:val="16"/>
                <w:szCs w:val="16"/>
              </w:rPr>
            </w:pPr>
            <w:r>
              <w:rPr>
                <w:sz w:val="16"/>
                <w:szCs w:val="16"/>
              </w:rPr>
              <w:t>United Kingdom</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AF" w14:textId="77777777" w:rsidR="00031725" w:rsidRDefault="00031725">
            <w:pPr>
              <w:spacing w:after="0" w:line="240" w:lineRule="auto"/>
              <w:rPr>
                <w:sz w:val="16"/>
                <w:szCs w:val="16"/>
              </w:rPr>
            </w:pPr>
            <w:hyperlink r:id="rId238">
              <w:r>
                <w:rPr>
                  <w:color w:val="1155CC"/>
                  <w:sz w:val="16"/>
                  <w:szCs w:val="16"/>
                  <w:u w:val="single"/>
                </w:rPr>
                <w:t>0000-0002-7702-4495</w:t>
              </w:r>
            </w:hyperlink>
          </w:p>
        </w:tc>
      </w:tr>
      <w:tr w:rsidR="00031725" w14:paraId="2074235D"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B0" w14:textId="77777777" w:rsidR="00031725" w:rsidRDefault="00000000">
            <w:pPr>
              <w:spacing w:after="0" w:line="240" w:lineRule="auto"/>
              <w:jc w:val="center"/>
              <w:rPr>
                <w:sz w:val="16"/>
                <w:szCs w:val="16"/>
              </w:rPr>
            </w:pPr>
            <w:r>
              <w:rPr>
                <w:sz w:val="16"/>
                <w:szCs w:val="16"/>
              </w:rPr>
              <w:t>34</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B1" w14:textId="77777777" w:rsidR="00031725" w:rsidRDefault="00000000">
            <w:pPr>
              <w:spacing w:after="0" w:line="240" w:lineRule="auto"/>
              <w:rPr>
                <w:sz w:val="16"/>
                <w:szCs w:val="16"/>
              </w:rPr>
            </w:pPr>
            <w:r>
              <w:rPr>
                <w:sz w:val="16"/>
                <w:szCs w:val="16"/>
              </w:rPr>
              <w:t>Sebastian</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B2" w14:textId="77777777" w:rsidR="00031725" w:rsidRDefault="00000000">
            <w:pPr>
              <w:spacing w:after="0" w:line="240" w:lineRule="auto"/>
              <w:rPr>
                <w:sz w:val="16"/>
                <w:szCs w:val="16"/>
              </w:rPr>
            </w:pPr>
            <w:r>
              <w:rPr>
                <w:sz w:val="16"/>
                <w:szCs w:val="16"/>
              </w:rPr>
              <w:t>Lobentanzer</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B3" w14:textId="77777777" w:rsidR="00031725" w:rsidRDefault="00000000">
            <w:pPr>
              <w:spacing w:after="0" w:line="240" w:lineRule="auto"/>
              <w:rPr>
                <w:sz w:val="16"/>
                <w:szCs w:val="16"/>
              </w:rPr>
            </w:pPr>
            <w:r>
              <w:rPr>
                <w:sz w:val="16"/>
                <w:szCs w:val="16"/>
              </w:rPr>
              <w:t>Principal Investigator</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B4" w14:textId="77777777" w:rsidR="00031725" w:rsidRDefault="00000000">
            <w:pPr>
              <w:spacing w:after="0" w:line="240" w:lineRule="auto"/>
              <w:rPr>
                <w:sz w:val="16"/>
                <w:szCs w:val="16"/>
              </w:rPr>
            </w:pPr>
            <w:r>
              <w:rPr>
                <w:sz w:val="16"/>
                <w:szCs w:val="16"/>
              </w:rPr>
              <w:t>Helmholtz Munich</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B5" w14:textId="77777777" w:rsidR="00031725" w:rsidRDefault="00000000">
            <w:pPr>
              <w:spacing w:after="0" w:line="240" w:lineRule="auto"/>
              <w:rPr>
                <w:sz w:val="16"/>
                <w:szCs w:val="16"/>
              </w:rPr>
            </w:pPr>
            <w:r>
              <w:rPr>
                <w:sz w:val="16"/>
                <w:szCs w:val="16"/>
              </w:rPr>
              <w:t>Germany</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B6" w14:textId="77777777" w:rsidR="00031725" w:rsidRDefault="00031725">
            <w:pPr>
              <w:spacing w:after="0" w:line="240" w:lineRule="auto"/>
              <w:rPr>
                <w:sz w:val="16"/>
                <w:szCs w:val="16"/>
              </w:rPr>
            </w:pPr>
          </w:p>
        </w:tc>
      </w:tr>
      <w:tr w:rsidR="00031725" w14:paraId="227D5851"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B7" w14:textId="77777777" w:rsidR="00031725" w:rsidRDefault="00000000">
            <w:pPr>
              <w:spacing w:after="0" w:line="240" w:lineRule="auto"/>
              <w:jc w:val="center"/>
              <w:rPr>
                <w:sz w:val="16"/>
                <w:szCs w:val="16"/>
              </w:rPr>
            </w:pPr>
            <w:r>
              <w:rPr>
                <w:sz w:val="16"/>
                <w:szCs w:val="16"/>
              </w:rPr>
              <w:t>35</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B8" w14:textId="77777777" w:rsidR="00031725" w:rsidRDefault="00000000">
            <w:pPr>
              <w:spacing w:after="0" w:line="240" w:lineRule="auto"/>
              <w:rPr>
                <w:sz w:val="16"/>
                <w:szCs w:val="16"/>
              </w:rPr>
            </w:pPr>
            <w:r>
              <w:rPr>
                <w:sz w:val="16"/>
                <w:szCs w:val="16"/>
              </w:rPr>
              <w:t>Carolina</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B9" w14:textId="77777777" w:rsidR="00031725" w:rsidRDefault="00000000">
            <w:pPr>
              <w:spacing w:after="0" w:line="240" w:lineRule="auto"/>
              <w:rPr>
                <w:sz w:val="16"/>
                <w:szCs w:val="16"/>
              </w:rPr>
            </w:pPr>
            <w:r>
              <w:rPr>
                <w:sz w:val="16"/>
                <w:szCs w:val="16"/>
              </w:rPr>
              <w:t>Mazza</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BA" w14:textId="77777777" w:rsidR="00031725" w:rsidRDefault="00000000">
            <w:pPr>
              <w:spacing w:after="0" w:line="240" w:lineRule="auto"/>
              <w:rPr>
                <w:sz w:val="16"/>
                <w:szCs w:val="16"/>
              </w:rPr>
            </w:pPr>
            <w:r>
              <w:rPr>
                <w:sz w:val="16"/>
                <w:szCs w:val="16"/>
              </w:rPr>
              <w:t>Researcher</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BB" w14:textId="77777777" w:rsidR="00031725" w:rsidRDefault="00000000">
            <w:pPr>
              <w:spacing w:after="0" w:line="240" w:lineRule="auto"/>
              <w:rPr>
                <w:sz w:val="16"/>
                <w:szCs w:val="16"/>
              </w:rPr>
            </w:pPr>
            <w:r>
              <w:rPr>
                <w:sz w:val="16"/>
                <w:szCs w:val="16"/>
              </w:rPr>
              <w:t>Universidad Nacional de La Plata (UNLP)</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BC" w14:textId="77777777" w:rsidR="00031725" w:rsidRDefault="00000000">
            <w:pPr>
              <w:spacing w:after="0" w:line="240" w:lineRule="auto"/>
              <w:rPr>
                <w:sz w:val="16"/>
                <w:szCs w:val="16"/>
              </w:rPr>
            </w:pPr>
            <w:r>
              <w:rPr>
                <w:sz w:val="16"/>
                <w:szCs w:val="16"/>
              </w:rPr>
              <w:t>Argentina</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BD" w14:textId="77777777" w:rsidR="00031725" w:rsidRDefault="00031725">
            <w:pPr>
              <w:spacing w:after="0" w:line="240" w:lineRule="auto"/>
              <w:rPr>
                <w:sz w:val="16"/>
                <w:szCs w:val="16"/>
              </w:rPr>
            </w:pPr>
          </w:p>
        </w:tc>
      </w:tr>
      <w:tr w:rsidR="00031725" w14:paraId="3DB1D160"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BE" w14:textId="77777777" w:rsidR="00031725" w:rsidRDefault="00000000">
            <w:pPr>
              <w:spacing w:after="0" w:line="240" w:lineRule="auto"/>
              <w:jc w:val="center"/>
              <w:rPr>
                <w:sz w:val="16"/>
                <w:szCs w:val="16"/>
              </w:rPr>
            </w:pPr>
            <w:r>
              <w:rPr>
                <w:sz w:val="16"/>
                <w:szCs w:val="16"/>
              </w:rPr>
              <w:t>36</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BF" w14:textId="77777777" w:rsidR="00031725" w:rsidRDefault="00000000">
            <w:pPr>
              <w:spacing w:after="0" w:line="240" w:lineRule="auto"/>
              <w:rPr>
                <w:sz w:val="16"/>
                <w:szCs w:val="16"/>
              </w:rPr>
            </w:pPr>
            <w:r>
              <w:rPr>
                <w:sz w:val="16"/>
                <w:szCs w:val="16"/>
              </w:rPr>
              <w:t>Marina</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C0" w14:textId="77777777" w:rsidR="00031725" w:rsidRDefault="00000000">
            <w:pPr>
              <w:spacing w:after="0" w:line="240" w:lineRule="auto"/>
              <w:rPr>
                <w:sz w:val="16"/>
                <w:szCs w:val="16"/>
              </w:rPr>
            </w:pPr>
            <w:r>
              <w:rPr>
                <w:sz w:val="16"/>
                <w:szCs w:val="16"/>
              </w:rPr>
              <w:t>McGale</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C1" w14:textId="77777777" w:rsidR="00031725" w:rsidRDefault="00000000">
            <w:pPr>
              <w:spacing w:after="0" w:line="240" w:lineRule="auto"/>
              <w:rPr>
                <w:sz w:val="16"/>
                <w:szCs w:val="16"/>
              </w:rPr>
            </w:pPr>
            <w:r>
              <w:rPr>
                <w:sz w:val="16"/>
                <w:szCs w:val="16"/>
              </w:rPr>
              <w:t>Technical Manager</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C2" w14:textId="77777777" w:rsidR="00031725" w:rsidRDefault="00000000">
            <w:pPr>
              <w:spacing w:after="0" w:line="240" w:lineRule="auto"/>
              <w:rPr>
                <w:sz w:val="16"/>
                <w:szCs w:val="16"/>
              </w:rPr>
            </w:pPr>
            <w:r>
              <w:rPr>
                <w:sz w:val="16"/>
                <w:szCs w:val="16"/>
              </w:rPr>
              <w:t>Australian Data Archive (ADA)</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C3" w14:textId="77777777" w:rsidR="00031725" w:rsidRDefault="00000000">
            <w:pPr>
              <w:spacing w:after="0" w:line="240" w:lineRule="auto"/>
              <w:rPr>
                <w:sz w:val="16"/>
                <w:szCs w:val="16"/>
              </w:rPr>
            </w:pPr>
            <w:r>
              <w:rPr>
                <w:sz w:val="16"/>
                <w:szCs w:val="16"/>
              </w:rPr>
              <w:t>Australia</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C4" w14:textId="77777777" w:rsidR="00031725" w:rsidRDefault="00031725">
            <w:pPr>
              <w:spacing w:after="0" w:line="240" w:lineRule="auto"/>
              <w:rPr>
                <w:sz w:val="16"/>
                <w:szCs w:val="16"/>
              </w:rPr>
            </w:pPr>
          </w:p>
        </w:tc>
      </w:tr>
      <w:tr w:rsidR="00031725" w14:paraId="69BA2152"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C5" w14:textId="77777777" w:rsidR="00031725" w:rsidRDefault="00000000">
            <w:pPr>
              <w:spacing w:after="0" w:line="240" w:lineRule="auto"/>
              <w:jc w:val="center"/>
              <w:rPr>
                <w:sz w:val="16"/>
                <w:szCs w:val="16"/>
              </w:rPr>
            </w:pPr>
            <w:r>
              <w:rPr>
                <w:sz w:val="16"/>
                <w:szCs w:val="16"/>
              </w:rPr>
              <w:t>37</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C6" w14:textId="77777777" w:rsidR="00031725" w:rsidRDefault="00000000">
            <w:pPr>
              <w:spacing w:after="0" w:line="240" w:lineRule="auto"/>
              <w:rPr>
                <w:sz w:val="16"/>
                <w:szCs w:val="16"/>
              </w:rPr>
            </w:pPr>
            <w:r>
              <w:rPr>
                <w:sz w:val="16"/>
                <w:szCs w:val="16"/>
              </w:rPr>
              <w:t>Ethel</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C7" w14:textId="77777777" w:rsidR="00031725" w:rsidRDefault="00000000">
            <w:pPr>
              <w:spacing w:after="0" w:line="240" w:lineRule="auto"/>
              <w:rPr>
                <w:sz w:val="16"/>
                <w:szCs w:val="16"/>
              </w:rPr>
            </w:pPr>
            <w:r>
              <w:rPr>
                <w:sz w:val="16"/>
                <w:szCs w:val="16"/>
              </w:rPr>
              <w:t>Mendocilla Sato</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C8" w14:textId="77777777" w:rsidR="00031725" w:rsidRDefault="00000000">
            <w:pPr>
              <w:spacing w:after="0" w:line="240" w:lineRule="auto"/>
              <w:rPr>
                <w:sz w:val="16"/>
                <w:szCs w:val="16"/>
              </w:rPr>
            </w:pPr>
            <w:r>
              <w:rPr>
                <w:sz w:val="16"/>
                <w:szCs w:val="16"/>
              </w:rPr>
              <w:t>Data Steward/Student</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C9" w14:textId="77777777" w:rsidR="00031725" w:rsidRDefault="00000000">
            <w:pPr>
              <w:spacing w:after="0" w:line="240" w:lineRule="auto"/>
              <w:rPr>
                <w:sz w:val="16"/>
                <w:szCs w:val="16"/>
              </w:rPr>
            </w:pPr>
            <w:r>
              <w:rPr>
                <w:sz w:val="16"/>
                <w:szCs w:val="16"/>
              </w:rPr>
              <w:t>University of Lausanne (UNIL) / École Polytechnique Fédérale de Lausanne (EPFL)</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CA" w14:textId="77777777" w:rsidR="00031725" w:rsidRDefault="00000000">
            <w:pPr>
              <w:spacing w:after="0" w:line="240" w:lineRule="auto"/>
              <w:rPr>
                <w:sz w:val="16"/>
                <w:szCs w:val="16"/>
              </w:rPr>
            </w:pPr>
            <w:r>
              <w:rPr>
                <w:sz w:val="16"/>
                <w:szCs w:val="16"/>
              </w:rPr>
              <w:t>Switzerland</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CB" w14:textId="77777777" w:rsidR="00031725" w:rsidRDefault="00031725">
            <w:pPr>
              <w:spacing w:after="0" w:line="240" w:lineRule="auto"/>
              <w:rPr>
                <w:sz w:val="16"/>
                <w:szCs w:val="16"/>
              </w:rPr>
            </w:pPr>
            <w:hyperlink r:id="rId239">
              <w:r>
                <w:rPr>
                  <w:color w:val="1155CC"/>
                  <w:sz w:val="16"/>
                  <w:szCs w:val="16"/>
                  <w:u w:val="single"/>
                </w:rPr>
                <w:t>0000-0003-0339-3535</w:t>
              </w:r>
            </w:hyperlink>
          </w:p>
        </w:tc>
      </w:tr>
      <w:tr w:rsidR="00031725" w14:paraId="249D31A4" w14:textId="77777777">
        <w:trPr>
          <w:trHeight w:val="43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CC" w14:textId="77777777" w:rsidR="00031725" w:rsidRDefault="00000000">
            <w:pPr>
              <w:spacing w:after="0" w:line="240" w:lineRule="auto"/>
              <w:jc w:val="center"/>
              <w:rPr>
                <w:sz w:val="16"/>
                <w:szCs w:val="16"/>
              </w:rPr>
            </w:pPr>
            <w:r>
              <w:rPr>
                <w:sz w:val="16"/>
                <w:szCs w:val="16"/>
              </w:rPr>
              <w:t>38</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CD" w14:textId="77777777" w:rsidR="00031725" w:rsidRDefault="00000000">
            <w:pPr>
              <w:spacing w:after="0" w:line="240" w:lineRule="auto"/>
              <w:rPr>
                <w:sz w:val="16"/>
                <w:szCs w:val="16"/>
              </w:rPr>
            </w:pPr>
            <w:r>
              <w:rPr>
                <w:sz w:val="16"/>
                <w:szCs w:val="16"/>
              </w:rPr>
              <w:t>Natalie</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CE" w14:textId="77777777" w:rsidR="00031725" w:rsidRDefault="00000000">
            <w:pPr>
              <w:spacing w:after="0" w:line="240" w:lineRule="auto"/>
              <w:rPr>
                <w:sz w:val="16"/>
                <w:szCs w:val="16"/>
              </w:rPr>
            </w:pPr>
            <w:r>
              <w:rPr>
                <w:sz w:val="16"/>
                <w:szCs w:val="16"/>
              </w:rPr>
              <w:t>Meyers</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CF" w14:textId="77777777" w:rsidR="00031725" w:rsidRDefault="00000000">
            <w:pPr>
              <w:spacing w:after="0" w:line="240" w:lineRule="auto"/>
              <w:rPr>
                <w:sz w:val="16"/>
                <w:szCs w:val="16"/>
              </w:rPr>
            </w:pPr>
            <w:r>
              <w:rPr>
                <w:sz w:val="16"/>
                <w:szCs w:val="16"/>
              </w:rPr>
              <w:t>AI Researcher in Residence/Research Specialist</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D0" w14:textId="77777777" w:rsidR="00031725" w:rsidRDefault="00000000">
            <w:pPr>
              <w:spacing w:after="0" w:line="240" w:lineRule="auto"/>
              <w:rPr>
                <w:sz w:val="16"/>
                <w:szCs w:val="16"/>
              </w:rPr>
            </w:pPr>
            <w:r>
              <w:rPr>
                <w:sz w:val="16"/>
                <w:szCs w:val="16"/>
              </w:rPr>
              <w:t>Association of Research Libraries (ARL) / Coalition for Networked Information (CNI) / San Diego Supercomputer Center (SDSC)</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D1" w14:textId="77777777" w:rsidR="00031725" w:rsidRDefault="00000000">
            <w:pPr>
              <w:spacing w:after="0" w:line="240" w:lineRule="auto"/>
              <w:rPr>
                <w:sz w:val="16"/>
                <w:szCs w:val="16"/>
              </w:rPr>
            </w:pPr>
            <w:r>
              <w:rPr>
                <w:sz w:val="16"/>
                <w:szCs w:val="16"/>
              </w:rPr>
              <w:t>United States</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D2" w14:textId="77777777" w:rsidR="00031725" w:rsidRDefault="00031725">
            <w:pPr>
              <w:spacing w:after="0" w:line="240" w:lineRule="auto"/>
              <w:rPr>
                <w:sz w:val="16"/>
                <w:szCs w:val="16"/>
              </w:rPr>
            </w:pPr>
          </w:p>
        </w:tc>
      </w:tr>
      <w:tr w:rsidR="00031725" w14:paraId="3D8614CE" w14:textId="77777777">
        <w:trPr>
          <w:trHeight w:val="6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D3" w14:textId="77777777" w:rsidR="00031725" w:rsidRDefault="00000000">
            <w:pPr>
              <w:spacing w:after="0" w:line="240" w:lineRule="auto"/>
              <w:jc w:val="center"/>
              <w:rPr>
                <w:sz w:val="16"/>
                <w:szCs w:val="16"/>
              </w:rPr>
            </w:pPr>
            <w:r>
              <w:rPr>
                <w:sz w:val="16"/>
                <w:szCs w:val="16"/>
              </w:rPr>
              <w:t>39</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D4" w14:textId="77777777" w:rsidR="00031725" w:rsidRDefault="00000000">
            <w:pPr>
              <w:spacing w:after="0" w:line="240" w:lineRule="auto"/>
              <w:rPr>
                <w:sz w:val="16"/>
                <w:szCs w:val="16"/>
              </w:rPr>
            </w:pPr>
            <w:r>
              <w:rPr>
                <w:sz w:val="16"/>
                <w:szCs w:val="16"/>
              </w:rPr>
              <w:t>Natalia</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D5" w14:textId="77777777" w:rsidR="00031725" w:rsidRDefault="00000000">
            <w:pPr>
              <w:spacing w:after="0" w:line="240" w:lineRule="auto"/>
              <w:rPr>
                <w:sz w:val="16"/>
                <w:szCs w:val="16"/>
              </w:rPr>
            </w:pPr>
            <w:r>
              <w:rPr>
                <w:sz w:val="16"/>
                <w:szCs w:val="16"/>
              </w:rPr>
              <w:t>Mikołajczak</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D6" w14:textId="77777777" w:rsidR="00031725" w:rsidRDefault="00000000">
            <w:pPr>
              <w:spacing w:after="0" w:line="240" w:lineRule="auto"/>
              <w:rPr>
                <w:sz w:val="16"/>
                <w:szCs w:val="16"/>
              </w:rPr>
            </w:pPr>
            <w:r>
              <w:rPr>
                <w:sz w:val="16"/>
                <w:szCs w:val="16"/>
              </w:rPr>
              <w:t>Open Science Specialist, Open Science Coordinator at WUT, Data Steward</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D7" w14:textId="77777777" w:rsidR="00031725" w:rsidRDefault="00000000">
            <w:pPr>
              <w:spacing w:after="0" w:line="240" w:lineRule="auto"/>
              <w:rPr>
                <w:sz w:val="16"/>
                <w:szCs w:val="16"/>
              </w:rPr>
            </w:pPr>
            <w:r>
              <w:rPr>
                <w:sz w:val="16"/>
                <w:szCs w:val="16"/>
              </w:rPr>
              <w:t>Warsaw University of Technology, Main Library</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D8" w14:textId="77777777" w:rsidR="00031725" w:rsidRDefault="00000000">
            <w:pPr>
              <w:spacing w:after="0" w:line="240" w:lineRule="auto"/>
              <w:rPr>
                <w:sz w:val="16"/>
                <w:szCs w:val="16"/>
              </w:rPr>
            </w:pPr>
            <w:r>
              <w:rPr>
                <w:sz w:val="16"/>
                <w:szCs w:val="16"/>
              </w:rPr>
              <w:t>Poland</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D9" w14:textId="77777777" w:rsidR="00031725" w:rsidRDefault="00031725">
            <w:pPr>
              <w:spacing w:after="0" w:line="240" w:lineRule="auto"/>
              <w:rPr>
                <w:sz w:val="16"/>
                <w:szCs w:val="16"/>
              </w:rPr>
            </w:pPr>
            <w:hyperlink r:id="rId240">
              <w:r>
                <w:rPr>
                  <w:color w:val="1155CC"/>
                  <w:sz w:val="16"/>
                  <w:szCs w:val="16"/>
                  <w:u w:val="single"/>
                </w:rPr>
                <w:t>0000-0002-6605-5368</w:t>
              </w:r>
            </w:hyperlink>
          </w:p>
        </w:tc>
      </w:tr>
      <w:tr w:rsidR="00031725" w14:paraId="5BD8ED77"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DA" w14:textId="77777777" w:rsidR="00031725" w:rsidRDefault="00000000">
            <w:pPr>
              <w:spacing w:after="0" w:line="240" w:lineRule="auto"/>
              <w:jc w:val="center"/>
              <w:rPr>
                <w:sz w:val="16"/>
                <w:szCs w:val="16"/>
              </w:rPr>
            </w:pPr>
            <w:r>
              <w:rPr>
                <w:sz w:val="16"/>
                <w:szCs w:val="16"/>
              </w:rPr>
              <w:t>40</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DB" w14:textId="77777777" w:rsidR="00031725" w:rsidRDefault="00000000">
            <w:pPr>
              <w:spacing w:after="0" w:line="240" w:lineRule="auto"/>
              <w:rPr>
                <w:sz w:val="16"/>
                <w:szCs w:val="16"/>
              </w:rPr>
            </w:pPr>
            <w:r>
              <w:rPr>
                <w:sz w:val="16"/>
                <w:szCs w:val="16"/>
              </w:rPr>
              <w:t>Naeem</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DC" w14:textId="77777777" w:rsidR="00031725" w:rsidRDefault="00000000">
            <w:pPr>
              <w:spacing w:after="0" w:line="240" w:lineRule="auto"/>
              <w:rPr>
                <w:sz w:val="16"/>
                <w:szCs w:val="16"/>
              </w:rPr>
            </w:pPr>
            <w:r>
              <w:rPr>
                <w:sz w:val="16"/>
                <w:szCs w:val="16"/>
              </w:rPr>
              <w:t>Muhammad</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DD" w14:textId="77777777" w:rsidR="00031725" w:rsidRDefault="00000000">
            <w:pPr>
              <w:spacing w:after="0" w:line="240" w:lineRule="auto"/>
              <w:rPr>
                <w:sz w:val="16"/>
                <w:szCs w:val="16"/>
              </w:rPr>
            </w:pPr>
            <w:r>
              <w:rPr>
                <w:sz w:val="16"/>
                <w:szCs w:val="16"/>
              </w:rPr>
              <w:t>Research Data Manager</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DE" w14:textId="77777777" w:rsidR="00031725" w:rsidRDefault="00000000">
            <w:pPr>
              <w:spacing w:after="0" w:line="240" w:lineRule="auto"/>
              <w:rPr>
                <w:sz w:val="16"/>
                <w:szCs w:val="16"/>
              </w:rPr>
            </w:pPr>
            <w:r>
              <w:rPr>
                <w:sz w:val="16"/>
                <w:szCs w:val="16"/>
              </w:rPr>
              <w:t>KU Leuven</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DF" w14:textId="77777777" w:rsidR="00031725" w:rsidRDefault="00000000">
            <w:pPr>
              <w:spacing w:after="0" w:line="240" w:lineRule="auto"/>
              <w:rPr>
                <w:sz w:val="16"/>
                <w:szCs w:val="16"/>
              </w:rPr>
            </w:pPr>
            <w:r>
              <w:rPr>
                <w:sz w:val="16"/>
                <w:szCs w:val="16"/>
              </w:rPr>
              <w:t>Belgium</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E0" w14:textId="77777777" w:rsidR="00031725" w:rsidRDefault="00031725">
            <w:pPr>
              <w:spacing w:after="0" w:line="240" w:lineRule="auto"/>
              <w:rPr>
                <w:sz w:val="16"/>
                <w:szCs w:val="16"/>
              </w:rPr>
            </w:pPr>
          </w:p>
        </w:tc>
      </w:tr>
      <w:tr w:rsidR="00031725" w14:paraId="2C1AC4C6"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E1" w14:textId="77777777" w:rsidR="00031725" w:rsidRDefault="00000000">
            <w:pPr>
              <w:spacing w:after="0" w:line="240" w:lineRule="auto"/>
              <w:jc w:val="center"/>
              <w:rPr>
                <w:sz w:val="16"/>
                <w:szCs w:val="16"/>
              </w:rPr>
            </w:pPr>
            <w:r>
              <w:rPr>
                <w:sz w:val="16"/>
                <w:szCs w:val="16"/>
              </w:rPr>
              <w:t>41</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E2" w14:textId="77777777" w:rsidR="00031725" w:rsidRDefault="00000000">
            <w:pPr>
              <w:spacing w:after="0" w:line="240" w:lineRule="auto"/>
              <w:rPr>
                <w:sz w:val="16"/>
                <w:szCs w:val="16"/>
              </w:rPr>
            </w:pPr>
            <w:r>
              <w:rPr>
                <w:sz w:val="16"/>
                <w:szCs w:val="16"/>
              </w:rPr>
              <w:t xml:space="preserve">Hari </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E3" w14:textId="77777777" w:rsidR="00031725" w:rsidRDefault="00000000">
            <w:pPr>
              <w:spacing w:after="0" w:line="240" w:lineRule="auto"/>
              <w:rPr>
                <w:sz w:val="16"/>
                <w:szCs w:val="16"/>
              </w:rPr>
            </w:pPr>
            <w:r>
              <w:rPr>
                <w:sz w:val="16"/>
                <w:szCs w:val="16"/>
              </w:rPr>
              <w:t>Nepal</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E4" w14:textId="77777777" w:rsidR="00031725" w:rsidRDefault="00000000">
            <w:pPr>
              <w:spacing w:after="0" w:line="240" w:lineRule="auto"/>
              <w:rPr>
                <w:sz w:val="16"/>
                <w:szCs w:val="16"/>
              </w:rPr>
            </w:pPr>
            <w:r>
              <w:rPr>
                <w:sz w:val="16"/>
                <w:szCs w:val="16"/>
              </w:rPr>
              <w:t>Researcher</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E5" w14:textId="77777777" w:rsidR="00031725" w:rsidRDefault="00000000">
            <w:pPr>
              <w:spacing w:after="0" w:line="240" w:lineRule="auto"/>
              <w:rPr>
                <w:sz w:val="16"/>
                <w:szCs w:val="16"/>
              </w:rPr>
            </w:pPr>
            <w:r>
              <w:rPr>
                <w:sz w:val="16"/>
                <w:szCs w:val="16"/>
              </w:rPr>
              <w:t>University of Porto</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E6" w14:textId="77777777" w:rsidR="00031725" w:rsidRDefault="00000000">
            <w:pPr>
              <w:spacing w:after="0" w:line="240" w:lineRule="auto"/>
              <w:rPr>
                <w:sz w:val="16"/>
                <w:szCs w:val="16"/>
              </w:rPr>
            </w:pPr>
            <w:r>
              <w:rPr>
                <w:sz w:val="16"/>
                <w:szCs w:val="16"/>
              </w:rPr>
              <w:t>Portugal</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E7" w14:textId="77777777" w:rsidR="00031725" w:rsidRDefault="00031725">
            <w:pPr>
              <w:spacing w:after="0" w:line="240" w:lineRule="auto"/>
              <w:rPr>
                <w:sz w:val="16"/>
                <w:szCs w:val="16"/>
              </w:rPr>
            </w:pPr>
            <w:hyperlink r:id="rId241">
              <w:r>
                <w:rPr>
                  <w:color w:val="1155CC"/>
                  <w:sz w:val="16"/>
                  <w:szCs w:val="16"/>
                  <w:u w:val="single"/>
                </w:rPr>
                <w:t>0000-0003-3078-3846</w:t>
              </w:r>
            </w:hyperlink>
          </w:p>
        </w:tc>
      </w:tr>
      <w:tr w:rsidR="00031725" w14:paraId="19FBB1E7"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E8" w14:textId="77777777" w:rsidR="00031725" w:rsidRDefault="00000000">
            <w:pPr>
              <w:spacing w:after="0" w:line="240" w:lineRule="auto"/>
              <w:jc w:val="center"/>
              <w:rPr>
                <w:sz w:val="16"/>
                <w:szCs w:val="16"/>
              </w:rPr>
            </w:pPr>
            <w:r>
              <w:rPr>
                <w:sz w:val="16"/>
                <w:szCs w:val="16"/>
              </w:rPr>
              <w:t>42</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E9" w14:textId="77777777" w:rsidR="00031725" w:rsidRDefault="00000000">
            <w:pPr>
              <w:spacing w:after="0" w:line="240" w:lineRule="auto"/>
              <w:rPr>
                <w:sz w:val="16"/>
                <w:szCs w:val="16"/>
              </w:rPr>
            </w:pPr>
            <w:r>
              <w:rPr>
                <w:sz w:val="16"/>
                <w:szCs w:val="16"/>
              </w:rPr>
              <w:t>Anh</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EA" w14:textId="77777777" w:rsidR="00031725" w:rsidRDefault="00000000">
            <w:pPr>
              <w:spacing w:after="0" w:line="240" w:lineRule="auto"/>
              <w:rPr>
                <w:sz w:val="16"/>
                <w:szCs w:val="16"/>
              </w:rPr>
            </w:pPr>
            <w:r>
              <w:rPr>
                <w:sz w:val="16"/>
                <w:szCs w:val="16"/>
              </w:rPr>
              <w:t>Nguyet Vu</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EB" w14:textId="77777777" w:rsidR="00031725" w:rsidRDefault="00000000">
            <w:pPr>
              <w:spacing w:after="0" w:line="240" w:lineRule="auto"/>
              <w:rPr>
                <w:sz w:val="16"/>
                <w:szCs w:val="16"/>
              </w:rPr>
            </w:pPr>
            <w:r>
              <w:rPr>
                <w:sz w:val="16"/>
                <w:szCs w:val="16"/>
              </w:rPr>
              <w:t>Bioinformatics Engineer</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EC" w14:textId="77777777" w:rsidR="00031725" w:rsidRDefault="00000000">
            <w:pPr>
              <w:spacing w:after="0" w:line="240" w:lineRule="auto"/>
              <w:rPr>
                <w:sz w:val="16"/>
                <w:szCs w:val="16"/>
              </w:rPr>
            </w:pPr>
            <w:r>
              <w:rPr>
                <w:sz w:val="16"/>
                <w:szCs w:val="16"/>
              </w:rPr>
              <w:t>Sage Bionetworks</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ED" w14:textId="77777777" w:rsidR="00031725" w:rsidRDefault="00000000">
            <w:pPr>
              <w:spacing w:after="0" w:line="240" w:lineRule="auto"/>
              <w:rPr>
                <w:sz w:val="16"/>
                <w:szCs w:val="16"/>
              </w:rPr>
            </w:pPr>
            <w:r>
              <w:rPr>
                <w:sz w:val="16"/>
                <w:szCs w:val="16"/>
              </w:rPr>
              <w:t>United States</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EE" w14:textId="77777777" w:rsidR="00031725" w:rsidRDefault="00031725">
            <w:pPr>
              <w:spacing w:after="0" w:line="240" w:lineRule="auto"/>
              <w:rPr>
                <w:sz w:val="16"/>
                <w:szCs w:val="16"/>
              </w:rPr>
            </w:pPr>
          </w:p>
        </w:tc>
      </w:tr>
      <w:tr w:rsidR="00031725" w14:paraId="67E4B9D1"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EF" w14:textId="77777777" w:rsidR="00031725" w:rsidRDefault="00000000">
            <w:pPr>
              <w:spacing w:after="0" w:line="240" w:lineRule="auto"/>
              <w:jc w:val="center"/>
              <w:rPr>
                <w:sz w:val="16"/>
                <w:szCs w:val="16"/>
              </w:rPr>
            </w:pPr>
            <w:r>
              <w:rPr>
                <w:sz w:val="16"/>
                <w:szCs w:val="16"/>
              </w:rPr>
              <w:t>43</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F0" w14:textId="77777777" w:rsidR="00031725" w:rsidRDefault="00000000">
            <w:pPr>
              <w:spacing w:after="0" w:line="240" w:lineRule="auto"/>
              <w:rPr>
                <w:sz w:val="16"/>
                <w:szCs w:val="16"/>
              </w:rPr>
            </w:pPr>
            <w:r>
              <w:rPr>
                <w:sz w:val="16"/>
                <w:szCs w:val="16"/>
              </w:rPr>
              <w:t>Amy</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F1" w14:textId="77777777" w:rsidR="00031725" w:rsidRDefault="00000000">
            <w:pPr>
              <w:spacing w:after="0" w:line="240" w:lineRule="auto"/>
              <w:rPr>
                <w:sz w:val="16"/>
                <w:szCs w:val="16"/>
              </w:rPr>
            </w:pPr>
            <w:r>
              <w:rPr>
                <w:sz w:val="16"/>
                <w:szCs w:val="16"/>
              </w:rPr>
              <w:t>Nurnberger</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F2" w14:textId="77777777" w:rsidR="00031725" w:rsidRDefault="00000000">
            <w:pPr>
              <w:spacing w:after="0" w:line="240" w:lineRule="auto"/>
              <w:rPr>
                <w:sz w:val="16"/>
                <w:szCs w:val="16"/>
              </w:rPr>
            </w:pPr>
            <w:r>
              <w:rPr>
                <w:sz w:val="16"/>
                <w:szCs w:val="16"/>
              </w:rPr>
              <w:t>Head, Data Management Services</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F3" w14:textId="77777777" w:rsidR="00031725" w:rsidRDefault="00000000">
            <w:pPr>
              <w:spacing w:after="0" w:line="240" w:lineRule="auto"/>
              <w:rPr>
                <w:sz w:val="16"/>
                <w:szCs w:val="16"/>
              </w:rPr>
            </w:pPr>
            <w:r>
              <w:rPr>
                <w:sz w:val="16"/>
                <w:szCs w:val="16"/>
              </w:rPr>
              <w:t>Massachusetts Institute of Technology (MIT)</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F4" w14:textId="77777777" w:rsidR="00031725" w:rsidRDefault="00000000">
            <w:pPr>
              <w:spacing w:after="0" w:line="240" w:lineRule="auto"/>
              <w:rPr>
                <w:sz w:val="16"/>
                <w:szCs w:val="16"/>
              </w:rPr>
            </w:pPr>
            <w:r>
              <w:rPr>
                <w:sz w:val="16"/>
                <w:szCs w:val="16"/>
              </w:rPr>
              <w:t>United States</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F5" w14:textId="77777777" w:rsidR="00031725" w:rsidRDefault="00031725">
            <w:pPr>
              <w:spacing w:after="0" w:line="240" w:lineRule="auto"/>
              <w:rPr>
                <w:sz w:val="16"/>
                <w:szCs w:val="16"/>
              </w:rPr>
            </w:pPr>
          </w:p>
        </w:tc>
      </w:tr>
      <w:tr w:rsidR="00031725" w14:paraId="4CB96B08" w14:textId="77777777">
        <w:trPr>
          <w:trHeight w:val="43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F6" w14:textId="77777777" w:rsidR="00031725" w:rsidRDefault="00000000">
            <w:pPr>
              <w:spacing w:after="0" w:line="240" w:lineRule="auto"/>
              <w:jc w:val="center"/>
              <w:rPr>
                <w:sz w:val="16"/>
                <w:szCs w:val="16"/>
              </w:rPr>
            </w:pPr>
            <w:r>
              <w:rPr>
                <w:sz w:val="16"/>
                <w:szCs w:val="16"/>
              </w:rPr>
              <w:t>44</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F7" w14:textId="77777777" w:rsidR="00031725" w:rsidRDefault="00000000">
            <w:pPr>
              <w:spacing w:after="0" w:line="240" w:lineRule="auto"/>
              <w:rPr>
                <w:sz w:val="16"/>
                <w:szCs w:val="16"/>
              </w:rPr>
            </w:pPr>
            <w:r>
              <w:rPr>
                <w:sz w:val="16"/>
                <w:szCs w:val="16"/>
              </w:rPr>
              <w:t>Wolmar</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F8" w14:textId="77777777" w:rsidR="00031725" w:rsidRDefault="00000000">
            <w:pPr>
              <w:spacing w:after="0" w:line="240" w:lineRule="auto"/>
              <w:rPr>
                <w:sz w:val="16"/>
                <w:szCs w:val="16"/>
              </w:rPr>
            </w:pPr>
            <w:r>
              <w:rPr>
                <w:sz w:val="16"/>
                <w:szCs w:val="16"/>
              </w:rPr>
              <w:t>Nyberg Åkerström</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F9" w14:textId="77777777" w:rsidR="00031725" w:rsidRDefault="00000000">
            <w:pPr>
              <w:spacing w:after="0" w:line="240" w:lineRule="auto"/>
              <w:rPr>
                <w:sz w:val="16"/>
                <w:szCs w:val="16"/>
              </w:rPr>
            </w:pPr>
            <w:r>
              <w:rPr>
                <w:sz w:val="16"/>
                <w:szCs w:val="16"/>
              </w:rPr>
              <w:t>Bioinformatician / Data Steward</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FA" w14:textId="77777777" w:rsidR="00031725" w:rsidRDefault="00000000">
            <w:pPr>
              <w:spacing w:after="0" w:line="240" w:lineRule="auto"/>
              <w:rPr>
                <w:sz w:val="16"/>
                <w:szCs w:val="16"/>
              </w:rPr>
            </w:pPr>
            <w:r>
              <w:rPr>
                <w:sz w:val="16"/>
                <w:szCs w:val="16"/>
              </w:rPr>
              <w:t>European Life Sciences Infrastructure for Biological Information (ELIXIR) Sweden / National Bioinformatics Infrastructure Sweden (NBIS)</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FB" w14:textId="77777777" w:rsidR="00031725" w:rsidRDefault="00000000">
            <w:pPr>
              <w:spacing w:after="0" w:line="240" w:lineRule="auto"/>
              <w:rPr>
                <w:sz w:val="16"/>
                <w:szCs w:val="16"/>
              </w:rPr>
            </w:pPr>
            <w:r>
              <w:rPr>
                <w:sz w:val="16"/>
                <w:szCs w:val="16"/>
              </w:rPr>
              <w:t>Sweden</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FC" w14:textId="77777777" w:rsidR="00031725" w:rsidRDefault="00031725">
            <w:pPr>
              <w:spacing w:after="0" w:line="240" w:lineRule="auto"/>
              <w:rPr>
                <w:sz w:val="16"/>
                <w:szCs w:val="16"/>
              </w:rPr>
            </w:pPr>
          </w:p>
        </w:tc>
      </w:tr>
      <w:tr w:rsidR="00031725" w14:paraId="004BDF29"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FD" w14:textId="77777777" w:rsidR="00031725" w:rsidRDefault="00000000">
            <w:pPr>
              <w:spacing w:after="0" w:line="240" w:lineRule="auto"/>
              <w:jc w:val="center"/>
              <w:rPr>
                <w:sz w:val="16"/>
                <w:szCs w:val="16"/>
              </w:rPr>
            </w:pPr>
            <w:r>
              <w:rPr>
                <w:sz w:val="16"/>
                <w:szCs w:val="16"/>
              </w:rPr>
              <w:t>45</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FE" w14:textId="77777777" w:rsidR="00031725" w:rsidRDefault="00000000">
            <w:pPr>
              <w:spacing w:after="0" w:line="240" w:lineRule="auto"/>
              <w:rPr>
                <w:sz w:val="16"/>
                <w:szCs w:val="16"/>
              </w:rPr>
            </w:pPr>
            <w:r>
              <w:rPr>
                <w:sz w:val="16"/>
                <w:szCs w:val="16"/>
              </w:rPr>
              <w:t>Ryan</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6FF" w14:textId="77777777" w:rsidR="00031725" w:rsidRDefault="00000000">
            <w:pPr>
              <w:spacing w:after="0" w:line="240" w:lineRule="auto"/>
              <w:rPr>
                <w:sz w:val="16"/>
                <w:szCs w:val="16"/>
              </w:rPr>
            </w:pPr>
            <w:r>
              <w:rPr>
                <w:sz w:val="16"/>
                <w:szCs w:val="16"/>
              </w:rPr>
              <w:t>O'Connor</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00" w14:textId="77777777" w:rsidR="00031725" w:rsidRDefault="00000000">
            <w:pPr>
              <w:spacing w:after="0" w:line="240" w:lineRule="auto"/>
              <w:rPr>
                <w:sz w:val="16"/>
                <w:szCs w:val="16"/>
              </w:rPr>
            </w:pPr>
            <w:r>
              <w:rPr>
                <w:sz w:val="16"/>
                <w:szCs w:val="16"/>
              </w:rPr>
              <w:t>Independent</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01" w14:textId="77777777" w:rsidR="00031725" w:rsidRDefault="00000000">
            <w:pPr>
              <w:spacing w:after="0" w:line="240" w:lineRule="auto"/>
              <w:rPr>
                <w:sz w:val="16"/>
                <w:szCs w:val="16"/>
              </w:rPr>
            </w:pPr>
            <w:r>
              <w:rPr>
                <w:sz w:val="16"/>
                <w:szCs w:val="16"/>
              </w:rPr>
              <w:t>Independent</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02" w14:textId="77777777" w:rsidR="00031725" w:rsidRDefault="00000000">
            <w:pPr>
              <w:spacing w:after="0" w:line="240" w:lineRule="auto"/>
              <w:rPr>
                <w:sz w:val="16"/>
                <w:szCs w:val="16"/>
              </w:rPr>
            </w:pPr>
            <w:r>
              <w:rPr>
                <w:sz w:val="16"/>
                <w:szCs w:val="16"/>
              </w:rPr>
              <w:t>Ireland</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03" w14:textId="77777777" w:rsidR="00031725" w:rsidRDefault="00031725">
            <w:pPr>
              <w:spacing w:after="0" w:line="240" w:lineRule="auto"/>
              <w:rPr>
                <w:sz w:val="16"/>
                <w:szCs w:val="16"/>
              </w:rPr>
            </w:pPr>
          </w:p>
        </w:tc>
      </w:tr>
      <w:tr w:rsidR="00031725" w14:paraId="79BCE5C8"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04" w14:textId="77777777" w:rsidR="00031725" w:rsidRDefault="00000000">
            <w:pPr>
              <w:spacing w:after="0" w:line="240" w:lineRule="auto"/>
              <w:jc w:val="center"/>
              <w:rPr>
                <w:sz w:val="16"/>
                <w:szCs w:val="16"/>
              </w:rPr>
            </w:pPr>
            <w:r>
              <w:rPr>
                <w:sz w:val="16"/>
                <w:szCs w:val="16"/>
              </w:rPr>
              <w:t>46</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05" w14:textId="77777777" w:rsidR="00031725" w:rsidRDefault="00000000">
            <w:pPr>
              <w:spacing w:after="0" w:line="240" w:lineRule="auto"/>
              <w:rPr>
                <w:sz w:val="16"/>
                <w:szCs w:val="16"/>
              </w:rPr>
            </w:pPr>
            <w:r>
              <w:rPr>
                <w:sz w:val="16"/>
                <w:szCs w:val="16"/>
              </w:rPr>
              <w:t>Ugochi</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06" w14:textId="77777777" w:rsidR="00031725" w:rsidRDefault="00000000">
            <w:pPr>
              <w:spacing w:after="0" w:line="240" w:lineRule="auto"/>
              <w:rPr>
                <w:sz w:val="16"/>
                <w:szCs w:val="16"/>
              </w:rPr>
            </w:pPr>
            <w:r>
              <w:rPr>
                <w:sz w:val="16"/>
                <w:szCs w:val="16"/>
              </w:rPr>
              <w:t>Okengwu</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07" w14:textId="77777777" w:rsidR="00031725" w:rsidRDefault="00000000">
            <w:pPr>
              <w:spacing w:after="0" w:line="240" w:lineRule="auto"/>
              <w:rPr>
                <w:sz w:val="16"/>
                <w:szCs w:val="16"/>
              </w:rPr>
            </w:pPr>
            <w:r>
              <w:rPr>
                <w:sz w:val="16"/>
                <w:szCs w:val="16"/>
              </w:rPr>
              <w:t>Faculty Member / Researcher</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08" w14:textId="77777777" w:rsidR="00031725" w:rsidRDefault="00000000">
            <w:pPr>
              <w:spacing w:after="0" w:line="240" w:lineRule="auto"/>
              <w:rPr>
                <w:sz w:val="16"/>
                <w:szCs w:val="16"/>
              </w:rPr>
            </w:pPr>
            <w:r>
              <w:rPr>
                <w:sz w:val="16"/>
                <w:szCs w:val="16"/>
              </w:rPr>
              <w:t>University of Port Harcourt</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09" w14:textId="77777777" w:rsidR="00031725" w:rsidRDefault="00000000">
            <w:pPr>
              <w:spacing w:after="0" w:line="240" w:lineRule="auto"/>
              <w:rPr>
                <w:sz w:val="16"/>
                <w:szCs w:val="16"/>
              </w:rPr>
            </w:pPr>
            <w:r>
              <w:rPr>
                <w:sz w:val="16"/>
                <w:szCs w:val="16"/>
              </w:rPr>
              <w:t>Nigeria</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0A" w14:textId="77777777" w:rsidR="00031725" w:rsidRDefault="00031725">
            <w:pPr>
              <w:spacing w:after="0" w:line="240" w:lineRule="auto"/>
              <w:rPr>
                <w:sz w:val="16"/>
                <w:szCs w:val="16"/>
              </w:rPr>
            </w:pPr>
          </w:p>
        </w:tc>
      </w:tr>
      <w:tr w:rsidR="00031725" w14:paraId="5EC82B35"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0B" w14:textId="77777777" w:rsidR="00031725" w:rsidRDefault="00000000">
            <w:pPr>
              <w:spacing w:after="0" w:line="240" w:lineRule="auto"/>
              <w:jc w:val="center"/>
              <w:rPr>
                <w:sz w:val="16"/>
                <w:szCs w:val="16"/>
              </w:rPr>
            </w:pPr>
            <w:r>
              <w:rPr>
                <w:sz w:val="16"/>
                <w:szCs w:val="16"/>
              </w:rPr>
              <w:t>47</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0C" w14:textId="77777777" w:rsidR="00031725" w:rsidRDefault="00000000">
            <w:pPr>
              <w:spacing w:after="0" w:line="240" w:lineRule="auto"/>
              <w:rPr>
                <w:sz w:val="16"/>
                <w:szCs w:val="16"/>
              </w:rPr>
            </w:pPr>
            <w:r>
              <w:rPr>
                <w:sz w:val="16"/>
                <w:szCs w:val="16"/>
              </w:rPr>
              <w:t>Allison</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0D" w14:textId="77777777" w:rsidR="00031725" w:rsidRDefault="00000000">
            <w:pPr>
              <w:spacing w:after="0" w:line="240" w:lineRule="auto"/>
              <w:rPr>
                <w:sz w:val="16"/>
                <w:szCs w:val="16"/>
              </w:rPr>
            </w:pPr>
            <w:r>
              <w:rPr>
                <w:sz w:val="16"/>
                <w:szCs w:val="16"/>
              </w:rPr>
              <w:t>Olsen</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0E" w14:textId="77777777" w:rsidR="00031725" w:rsidRDefault="00000000">
            <w:pPr>
              <w:spacing w:after="0" w:line="240" w:lineRule="auto"/>
              <w:rPr>
                <w:sz w:val="16"/>
                <w:szCs w:val="16"/>
              </w:rPr>
            </w:pPr>
            <w:r>
              <w:rPr>
                <w:sz w:val="16"/>
                <w:szCs w:val="16"/>
              </w:rPr>
              <w:t>Digital Archivist</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0F" w14:textId="77777777" w:rsidR="00031725" w:rsidRDefault="00000000">
            <w:pPr>
              <w:spacing w:after="0" w:line="240" w:lineRule="auto"/>
              <w:rPr>
                <w:sz w:val="16"/>
                <w:szCs w:val="16"/>
              </w:rPr>
            </w:pPr>
            <w:r>
              <w:rPr>
                <w:sz w:val="16"/>
                <w:szCs w:val="16"/>
              </w:rPr>
              <w:t>Children's Hospital of Philadelphia (CHOP)</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10" w14:textId="77777777" w:rsidR="00031725" w:rsidRDefault="00000000">
            <w:pPr>
              <w:spacing w:after="0" w:line="240" w:lineRule="auto"/>
              <w:rPr>
                <w:sz w:val="16"/>
                <w:szCs w:val="16"/>
              </w:rPr>
            </w:pPr>
            <w:r>
              <w:rPr>
                <w:sz w:val="16"/>
                <w:szCs w:val="16"/>
              </w:rPr>
              <w:t>United States</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11" w14:textId="77777777" w:rsidR="00031725" w:rsidRDefault="00031725">
            <w:pPr>
              <w:spacing w:after="0" w:line="240" w:lineRule="auto"/>
              <w:rPr>
                <w:sz w:val="16"/>
                <w:szCs w:val="16"/>
              </w:rPr>
            </w:pPr>
          </w:p>
        </w:tc>
      </w:tr>
      <w:tr w:rsidR="00031725" w14:paraId="402E7A94"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12" w14:textId="77777777" w:rsidR="00031725" w:rsidRDefault="00000000">
            <w:pPr>
              <w:spacing w:after="0" w:line="240" w:lineRule="auto"/>
              <w:jc w:val="center"/>
              <w:rPr>
                <w:sz w:val="16"/>
                <w:szCs w:val="16"/>
              </w:rPr>
            </w:pPr>
            <w:r>
              <w:rPr>
                <w:sz w:val="16"/>
                <w:szCs w:val="16"/>
              </w:rPr>
              <w:t>48</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13" w14:textId="77777777" w:rsidR="00031725" w:rsidRDefault="00000000">
            <w:pPr>
              <w:spacing w:after="0" w:line="240" w:lineRule="auto"/>
              <w:rPr>
                <w:sz w:val="16"/>
                <w:szCs w:val="16"/>
              </w:rPr>
            </w:pPr>
            <w:r>
              <w:rPr>
                <w:sz w:val="16"/>
                <w:szCs w:val="16"/>
              </w:rPr>
              <w:t>Monica</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14" w14:textId="77777777" w:rsidR="00031725" w:rsidRDefault="00000000">
            <w:pPr>
              <w:spacing w:after="0" w:line="240" w:lineRule="auto"/>
              <w:rPr>
                <w:sz w:val="16"/>
                <w:szCs w:val="16"/>
              </w:rPr>
            </w:pPr>
            <w:r>
              <w:rPr>
                <w:sz w:val="16"/>
                <w:szCs w:val="16"/>
              </w:rPr>
              <w:t>Palmero Fernandez</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15" w14:textId="77777777" w:rsidR="00031725" w:rsidRDefault="00000000">
            <w:pPr>
              <w:spacing w:after="0" w:line="240" w:lineRule="auto"/>
              <w:rPr>
                <w:sz w:val="16"/>
                <w:szCs w:val="16"/>
              </w:rPr>
            </w:pPr>
            <w:r>
              <w:rPr>
                <w:sz w:val="16"/>
                <w:szCs w:val="16"/>
              </w:rPr>
              <w:t>Research Practice Coordinator</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16" w14:textId="77777777" w:rsidR="00031725" w:rsidRDefault="00000000">
            <w:pPr>
              <w:spacing w:after="0" w:line="240" w:lineRule="auto"/>
              <w:rPr>
                <w:sz w:val="16"/>
                <w:szCs w:val="16"/>
              </w:rPr>
            </w:pPr>
            <w:r>
              <w:rPr>
                <w:sz w:val="16"/>
                <w:szCs w:val="16"/>
              </w:rPr>
              <w:t>University of Oxford</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17" w14:textId="77777777" w:rsidR="00031725" w:rsidRDefault="00000000">
            <w:pPr>
              <w:spacing w:after="0" w:line="240" w:lineRule="auto"/>
              <w:rPr>
                <w:sz w:val="16"/>
                <w:szCs w:val="16"/>
              </w:rPr>
            </w:pPr>
            <w:r>
              <w:rPr>
                <w:sz w:val="16"/>
                <w:szCs w:val="16"/>
              </w:rPr>
              <w:t>United Kingdom</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18" w14:textId="77777777" w:rsidR="00031725" w:rsidRDefault="00031725">
            <w:pPr>
              <w:spacing w:after="0" w:line="240" w:lineRule="auto"/>
              <w:rPr>
                <w:sz w:val="16"/>
                <w:szCs w:val="16"/>
              </w:rPr>
            </w:pPr>
            <w:hyperlink r:id="rId242">
              <w:r>
                <w:rPr>
                  <w:color w:val="1155CC"/>
                  <w:sz w:val="16"/>
                  <w:szCs w:val="16"/>
                  <w:u w:val="single"/>
                </w:rPr>
                <w:t>0000-0001-5164-9115</w:t>
              </w:r>
            </w:hyperlink>
            <w:r>
              <w:rPr>
                <w:sz w:val="16"/>
                <w:szCs w:val="16"/>
              </w:rPr>
              <w:t xml:space="preserve"> </w:t>
            </w:r>
          </w:p>
        </w:tc>
      </w:tr>
      <w:tr w:rsidR="00031725" w14:paraId="52214FF0"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19" w14:textId="77777777" w:rsidR="00031725" w:rsidRDefault="00000000">
            <w:pPr>
              <w:spacing w:after="0" w:line="240" w:lineRule="auto"/>
              <w:jc w:val="center"/>
              <w:rPr>
                <w:sz w:val="16"/>
                <w:szCs w:val="16"/>
              </w:rPr>
            </w:pPr>
            <w:r>
              <w:rPr>
                <w:sz w:val="16"/>
                <w:szCs w:val="16"/>
              </w:rPr>
              <w:t>49</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1A" w14:textId="77777777" w:rsidR="00031725" w:rsidRDefault="00000000">
            <w:pPr>
              <w:spacing w:after="0" w:line="240" w:lineRule="auto"/>
              <w:rPr>
                <w:sz w:val="16"/>
                <w:szCs w:val="16"/>
              </w:rPr>
            </w:pPr>
            <w:r>
              <w:rPr>
                <w:sz w:val="16"/>
                <w:szCs w:val="16"/>
              </w:rPr>
              <w:t>Rajeev</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1B" w14:textId="77777777" w:rsidR="00031725" w:rsidRDefault="00000000">
            <w:pPr>
              <w:spacing w:after="0" w:line="240" w:lineRule="auto"/>
              <w:rPr>
                <w:sz w:val="16"/>
                <w:szCs w:val="16"/>
              </w:rPr>
            </w:pPr>
            <w:r>
              <w:rPr>
                <w:sz w:val="16"/>
                <w:szCs w:val="16"/>
              </w:rPr>
              <w:t>Pillai</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1C" w14:textId="77777777" w:rsidR="00031725" w:rsidRDefault="00000000">
            <w:pPr>
              <w:spacing w:after="0" w:line="240" w:lineRule="auto"/>
              <w:rPr>
                <w:sz w:val="16"/>
                <w:szCs w:val="16"/>
              </w:rPr>
            </w:pPr>
            <w:r>
              <w:rPr>
                <w:sz w:val="16"/>
                <w:szCs w:val="16"/>
              </w:rPr>
              <w:t>Senior Project Manager</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1D" w14:textId="77777777" w:rsidR="00031725" w:rsidRDefault="00000000">
            <w:pPr>
              <w:spacing w:after="0" w:line="240" w:lineRule="auto"/>
              <w:rPr>
                <w:sz w:val="16"/>
                <w:szCs w:val="16"/>
              </w:rPr>
            </w:pPr>
            <w:r>
              <w:rPr>
                <w:sz w:val="16"/>
                <w:szCs w:val="16"/>
              </w:rPr>
              <w:t>Beth Israel Deaconess Medical Center (BIDMC)</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1E" w14:textId="77777777" w:rsidR="00031725" w:rsidRDefault="00000000">
            <w:pPr>
              <w:spacing w:after="0" w:line="240" w:lineRule="auto"/>
              <w:rPr>
                <w:sz w:val="16"/>
                <w:szCs w:val="16"/>
              </w:rPr>
            </w:pPr>
            <w:r>
              <w:rPr>
                <w:sz w:val="16"/>
                <w:szCs w:val="16"/>
              </w:rPr>
              <w:t>United States</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1F" w14:textId="77777777" w:rsidR="00031725" w:rsidRDefault="00031725">
            <w:pPr>
              <w:spacing w:after="0" w:line="240" w:lineRule="auto"/>
              <w:rPr>
                <w:sz w:val="16"/>
                <w:szCs w:val="16"/>
              </w:rPr>
            </w:pPr>
          </w:p>
        </w:tc>
      </w:tr>
      <w:tr w:rsidR="00031725" w14:paraId="630491A9" w14:textId="77777777">
        <w:trPr>
          <w:trHeight w:val="43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20" w14:textId="77777777" w:rsidR="00031725" w:rsidRDefault="00000000">
            <w:pPr>
              <w:spacing w:after="0" w:line="240" w:lineRule="auto"/>
              <w:jc w:val="center"/>
              <w:rPr>
                <w:sz w:val="16"/>
                <w:szCs w:val="16"/>
              </w:rPr>
            </w:pPr>
            <w:r>
              <w:rPr>
                <w:sz w:val="16"/>
                <w:szCs w:val="16"/>
              </w:rPr>
              <w:t>50</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21" w14:textId="77777777" w:rsidR="00031725" w:rsidRDefault="00000000">
            <w:pPr>
              <w:spacing w:after="0" w:line="240" w:lineRule="auto"/>
              <w:rPr>
                <w:sz w:val="16"/>
                <w:szCs w:val="16"/>
              </w:rPr>
            </w:pPr>
            <w:r>
              <w:rPr>
                <w:sz w:val="16"/>
                <w:szCs w:val="16"/>
              </w:rPr>
              <w:t>Nadège</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22" w14:textId="77777777" w:rsidR="00031725" w:rsidRDefault="00000000">
            <w:pPr>
              <w:spacing w:after="0" w:line="240" w:lineRule="auto"/>
              <w:rPr>
                <w:sz w:val="16"/>
                <w:szCs w:val="16"/>
              </w:rPr>
            </w:pPr>
            <w:r>
              <w:rPr>
                <w:sz w:val="16"/>
                <w:szCs w:val="16"/>
              </w:rPr>
              <w:t>Poncet</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23" w14:textId="77777777" w:rsidR="00031725" w:rsidRDefault="00000000">
            <w:pPr>
              <w:spacing w:after="0" w:line="240" w:lineRule="auto"/>
              <w:rPr>
                <w:sz w:val="16"/>
                <w:szCs w:val="16"/>
              </w:rPr>
            </w:pPr>
            <w:r>
              <w:rPr>
                <w:sz w:val="16"/>
                <w:szCs w:val="16"/>
              </w:rPr>
              <w:t>Agentic AI consultant</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24" w14:textId="77777777" w:rsidR="00031725" w:rsidRDefault="00000000">
            <w:pPr>
              <w:spacing w:after="0" w:line="240" w:lineRule="auto"/>
              <w:rPr>
                <w:sz w:val="16"/>
                <w:szCs w:val="16"/>
              </w:rPr>
            </w:pPr>
            <w:r>
              <w:rPr>
                <w:sz w:val="16"/>
                <w:szCs w:val="16"/>
              </w:rPr>
              <w:t>Witivio</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25" w14:textId="77777777" w:rsidR="00031725" w:rsidRDefault="00000000">
            <w:pPr>
              <w:spacing w:after="0" w:line="240" w:lineRule="auto"/>
              <w:rPr>
                <w:sz w:val="16"/>
                <w:szCs w:val="16"/>
              </w:rPr>
            </w:pPr>
            <w:r>
              <w:rPr>
                <w:sz w:val="16"/>
                <w:szCs w:val="16"/>
              </w:rPr>
              <w:t>Switzerland / France</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26" w14:textId="77777777" w:rsidR="00031725" w:rsidRDefault="00031725">
            <w:pPr>
              <w:spacing w:after="0" w:line="240" w:lineRule="auto"/>
              <w:rPr>
                <w:sz w:val="16"/>
                <w:szCs w:val="16"/>
              </w:rPr>
            </w:pPr>
            <w:hyperlink r:id="rId243">
              <w:r>
                <w:rPr>
                  <w:color w:val="1155CC"/>
                  <w:sz w:val="16"/>
                  <w:szCs w:val="16"/>
                  <w:u w:val="single"/>
                </w:rPr>
                <w:t>0000-0002-0199-994X</w:t>
              </w:r>
            </w:hyperlink>
          </w:p>
        </w:tc>
      </w:tr>
      <w:tr w:rsidR="00031725" w14:paraId="4154FAAE"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27" w14:textId="77777777" w:rsidR="00031725" w:rsidRDefault="00000000">
            <w:pPr>
              <w:spacing w:after="0" w:line="240" w:lineRule="auto"/>
              <w:jc w:val="center"/>
              <w:rPr>
                <w:sz w:val="16"/>
                <w:szCs w:val="16"/>
              </w:rPr>
            </w:pPr>
            <w:r>
              <w:rPr>
                <w:sz w:val="16"/>
                <w:szCs w:val="16"/>
              </w:rPr>
              <w:t>51</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28" w14:textId="77777777" w:rsidR="00031725" w:rsidRDefault="00000000">
            <w:pPr>
              <w:spacing w:after="0" w:line="240" w:lineRule="auto"/>
              <w:rPr>
                <w:sz w:val="16"/>
                <w:szCs w:val="16"/>
              </w:rPr>
            </w:pPr>
            <w:r>
              <w:rPr>
                <w:sz w:val="16"/>
                <w:szCs w:val="16"/>
              </w:rPr>
              <w:t>Ronit</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29" w14:textId="77777777" w:rsidR="00031725" w:rsidRDefault="00000000">
            <w:pPr>
              <w:spacing w:after="0" w:line="240" w:lineRule="auto"/>
              <w:rPr>
                <w:sz w:val="16"/>
                <w:szCs w:val="16"/>
              </w:rPr>
            </w:pPr>
            <w:r>
              <w:rPr>
                <w:sz w:val="16"/>
                <w:szCs w:val="16"/>
              </w:rPr>
              <w:t>Purian</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2A" w14:textId="77777777" w:rsidR="00031725" w:rsidRDefault="00000000">
            <w:pPr>
              <w:spacing w:after="0" w:line="240" w:lineRule="auto"/>
              <w:rPr>
                <w:sz w:val="16"/>
                <w:szCs w:val="16"/>
              </w:rPr>
            </w:pPr>
            <w:r>
              <w:rPr>
                <w:sz w:val="16"/>
                <w:szCs w:val="16"/>
              </w:rPr>
              <w:t>Researcher</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2B" w14:textId="77777777" w:rsidR="00031725" w:rsidRDefault="00000000">
            <w:pPr>
              <w:spacing w:after="0" w:line="240" w:lineRule="auto"/>
              <w:rPr>
                <w:sz w:val="16"/>
                <w:szCs w:val="16"/>
              </w:rPr>
            </w:pPr>
            <w:r>
              <w:rPr>
                <w:sz w:val="16"/>
                <w:szCs w:val="16"/>
              </w:rPr>
              <w:t>Climatact</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2C" w14:textId="77777777" w:rsidR="00031725" w:rsidRDefault="00000000">
            <w:pPr>
              <w:spacing w:after="0" w:line="240" w:lineRule="auto"/>
              <w:rPr>
                <w:sz w:val="16"/>
                <w:szCs w:val="16"/>
              </w:rPr>
            </w:pPr>
            <w:r>
              <w:rPr>
                <w:sz w:val="16"/>
                <w:szCs w:val="16"/>
              </w:rPr>
              <w:t>Israel</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2D" w14:textId="77777777" w:rsidR="00031725" w:rsidRDefault="00031725">
            <w:pPr>
              <w:spacing w:after="0" w:line="240" w:lineRule="auto"/>
              <w:rPr>
                <w:sz w:val="16"/>
                <w:szCs w:val="16"/>
              </w:rPr>
            </w:pPr>
          </w:p>
        </w:tc>
      </w:tr>
      <w:tr w:rsidR="00031725" w14:paraId="7421A978"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2E" w14:textId="77777777" w:rsidR="00031725" w:rsidRDefault="00000000">
            <w:pPr>
              <w:spacing w:after="0" w:line="240" w:lineRule="auto"/>
              <w:jc w:val="center"/>
              <w:rPr>
                <w:sz w:val="16"/>
                <w:szCs w:val="16"/>
              </w:rPr>
            </w:pPr>
            <w:r>
              <w:rPr>
                <w:sz w:val="16"/>
                <w:szCs w:val="16"/>
              </w:rPr>
              <w:t>52</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2F" w14:textId="77777777" w:rsidR="00031725" w:rsidRDefault="00000000">
            <w:pPr>
              <w:spacing w:after="0" w:line="240" w:lineRule="auto"/>
              <w:rPr>
                <w:sz w:val="16"/>
                <w:szCs w:val="16"/>
              </w:rPr>
            </w:pPr>
            <w:r>
              <w:rPr>
                <w:sz w:val="16"/>
                <w:szCs w:val="16"/>
              </w:rPr>
              <w:t>Tovo</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30" w14:textId="77777777" w:rsidR="00031725" w:rsidRDefault="00000000">
            <w:pPr>
              <w:spacing w:after="0" w:line="240" w:lineRule="auto"/>
              <w:rPr>
                <w:sz w:val="16"/>
                <w:szCs w:val="16"/>
              </w:rPr>
            </w:pPr>
            <w:r>
              <w:rPr>
                <w:sz w:val="16"/>
                <w:szCs w:val="16"/>
              </w:rPr>
              <w:t>Rabemanantsoa</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31" w14:textId="77777777" w:rsidR="00031725" w:rsidRDefault="00000000">
            <w:pPr>
              <w:spacing w:after="0" w:line="240" w:lineRule="auto"/>
              <w:rPr>
                <w:sz w:val="16"/>
                <w:szCs w:val="16"/>
              </w:rPr>
            </w:pPr>
            <w:r>
              <w:rPr>
                <w:sz w:val="16"/>
                <w:szCs w:val="16"/>
              </w:rPr>
              <w:t>IT Manager</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32" w14:textId="77777777" w:rsidR="00031725" w:rsidRDefault="00000000">
            <w:pPr>
              <w:spacing w:after="0" w:line="240" w:lineRule="auto"/>
              <w:rPr>
                <w:sz w:val="16"/>
                <w:szCs w:val="16"/>
              </w:rPr>
            </w:pPr>
            <w:r>
              <w:rPr>
                <w:sz w:val="16"/>
                <w:szCs w:val="16"/>
              </w:rPr>
              <w:t>Institut National de Recherche pour l'Agriculture, l'Alimentation et l'Environnement (INRAE)</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33" w14:textId="77777777" w:rsidR="00031725" w:rsidRDefault="00000000">
            <w:pPr>
              <w:spacing w:after="0" w:line="240" w:lineRule="auto"/>
              <w:rPr>
                <w:sz w:val="16"/>
                <w:szCs w:val="16"/>
              </w:rPr>
            </w:pPr>
            <w:r>
              <w:rPr>
                <w:sz w:val="16"/>
                <w:szCs w:val="16"/>
              </w:rPr>
              <w:t>France</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34" w14:textId="77777777" w:rsidR="00031725" w:rsidRDefault="00031725">
            <w:pPr>
              <w:spacing w:after="0" w:line="240" w:lineRule="auto"/>
              <w:rPr>
                <w:sz w:val="16"/>
                <w:szCs w:val="16"/>
              </w:rPr>
            </w:pPr>
            <w:hyperlink r:id="rId244">
              <w:r>
                <w:rPr>
                  <w:color w:val="1155CC"/>
                  <w:sz w:val="16"/>
                  <w:szCs w:val="16"/>
                  <w:u w:val="single"/>
                </w:rPr>
                <w:t>0000-0002-8362-9474</w:t>
              </w:r>
            </w:hyperlink>
          </w:p>
        </w:tc>
      </w:tr>
      <w:tr w:rsidR="00031725" w14:paraId="4A6F4CA4" w14:textId="77777777">
        <w:trPr>
          <w:trHeight w:val="43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35" w14:textId="77777777" w:rsidR="00031725" w:rsidRDefault="00000000">
            <w:pPr>
              <w:spacing w:after="0" w:line="240" w:lineRule="auto"/>
              <w:jc w:val="center"/>
              <w:rPr>
                <w:sz w:val="16"/>
                <w:szCs w:val="16"/>
              </w:rPr>
            </w:pPr>
            <w:r>
              <w:rPr>
                <w:sz w:val="16"/>
                <w:szCs w:val="16"/>
              </w:rPr>
              <w:t>53</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36" w14:textId="77777777" w:rsidR="00031725" w:rsidRDefault="00000000">
            <w:pPr>
              <w:spacing w:after="0" w:line="240" w:lineRule="auto"/>
              <w:rPr>
                <w:sz w:val="16"/>
                <w:szCs w:val="16"/>
              </w:rPr>
            </w:pPr>
            <w:r>
              <w:rPr>
                <w:sz w:val="16"/>
                <w:szCs w:val="16"/>
              </w:rPr>
              <w:t>Trish</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37" w14:textId="77777777" w:rsidR="00031725" w:rsidRDefault="00000000">
            <w:pPr>
              <w:spacing w:after="0" w:line="240" w:lineRule="auto"/>
              <w:rPr>
                <w:sz w:val="16"/>
                <w:szCs w:val="16"/>
              </w:rPr>
            </w:pPr>
            <w:r>
              <w:rPr>
                <w:sz w:val="16"/>
                <w:szCs w:val="16"/>
              </w:rPr>
              <w:t>Radotic</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38" w14:textId="77777777" w:rsidR="00031725" w:rsidRDefault="00000000">
            <w:pPr>
              <w:spacing w:after="0" w:line="240" w:lineRule="auto"/>
              <w:rPr>
                <w:sz w:val="16"/>
                <w:szCs w:val="16"/>
              </w:rPr>
            </w:pPr>
            <w:r>
              <w:rPr>
                <w:sz w:val="16"/>
                <w:szCs w:val="16"/>
              </w:rPr>
              <w:t>RDA Community Manager</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39" w14:textId="77777777" w:rsidR="00031725" w:rsidRDefault="00000000">
            <w:pPr>
              <w:spacing w:after="0" w:line="240" w:lineRule="auto"/>
              <w:rPr>
                <w:sz w:val="16"/>
                <w:szCs w:val="16"/>
              </w:rPr>
            </w:pPr>
            <w:r>
              <w:rPr>
                <w:sz w:val="16"/>
                <w:szCs w:val="16"/>
              </w:rPr>
              <w:t>Research Data Alliance (RDA) / Australian Research Data Commons (ARDC)</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3A" w14:textId="77777777" w:rsidR="00031725" w:rsidRDefault="00000000">
            <w:pPr>
              <w:spacing w:after="0" w:line="240" w:lineRule="auto"/>
              <w:rPr>
                <w:sz w:val="16"/>
                <w:szCs w:val="16"/>
              </w:rPr>
            </w:pPr>
            <w:r>
              <w:rPr>
                <w:sz w:val="16"/>
                <w:szCs w:val="16"/>
              </w:rPr>
              <w:t>Australia</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3B" w14:textId="77777777" w:rsidR="00031725" w:rsidRDefault="00031725">
            <w:pPr>
              <w:spacing w:after="0" w:line="240" w:lineRule="auto"/>
              <w:rPr>
                <w:sz w:val="16"/>
                <w:szCs w:val="16"/>
              </w:rPr>
            </w:pPr>
          </w:p>
        </w:tc>
      </w:tr>
      <w:tr w:rsidR="00031725" w14:paraId="2ADC0692"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3C" w14:textId="77777777" w:rsidR="00031725" w:rsidRDefault="00000000">
            <w:pPr>
              <w:spacing w:after="0" w:line="240" w:lineRule="auto"/>
              <w:jc w:val="center"/>
              <w:rPr>
                <w:sz w:val="16"/>
                <w:szCs w:val="16"/>
              </w:rPr>
            </w:pPr>
            <w:r>
              <w:rPr>
                <w:sz w:val="16"/>
                <w:szCs w:val="16"/>
              </w:rPr>
              <w:t>54</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3D" w14:textId="77777777" w:rsidR="00031725" w:rsidRDefault="00000000">
            <w:pPr>
              <w:spacing w:after="0" w:line="240" w:lineRule="auto"/>
              <w:rPr>
                <w:sz w:val="16"/>
                <w:szCs w:val="16"/>
              </w:rPr>
            </w:pPr>
            <w:r>
              <w:rPr>
                <w:sz w:val="16"/>
                <w:szCs w:val="16"/>
              </w:rPr>
              <w:t>Leonore</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3E" w14:textId="77777777" w:rsidR="00031725" w:rsidRDefault="00000000">
            <w:pPr>
              <w:spacing w:after="0" w:line="240" w:lineRule="auto"/>
              <w:rPr>
                <w:sz w:val="16"/>
                <w:szCs w:val="16"/>
              </w:rPr>
            </w:pPr>
            <w:r>
              <w:rPr>
                <w:sz w:val="16"/>
                <w:szCs w:val="16"/>
              </w:rPr>
              <w:t>Reiser</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3F" w14:textId="77777777" w:rsidR="00031725" w:rsidRDefault="00000000">
            <w:pPr>
              <w:spacing w:after="0" w:line="240" w:lineRule="auto"/>
              <w:rPr>
                <w:sz w:val="16"/>
                <w:szCs w:val="16"/>
              </w:rPr>
            </w:pPr>
            <w:r>
              <w:rPr>
                <w:sz w:val="16"/>
                <w:szCs w:val="16"/>
              </w:rPr>
              <w:t>Biocuration Scientist</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40" w14:textId="77777777" w:rsidR="00031725" w:rsidRDefault="00000000">
            <w:pPr>
              <w:spacing w:after="0" w:line="240" w:lineRule="auto"/>
              <w:rPr>
                <w:sz w:val="16"/>
                <w:szCs w:val="16"/>
              </w:rPr>
            </w:pPr>
            <w:r>
              <w:rPr>
                <w:sz w:val="16"/>
                <w:szCs w:val="16"/>
              </w:rPr>
              <w:t>Phoenix Bioinformatics</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41" w14:textId="77777777" w:rsidR="00031725" w:rsidRDefault="00000000">
            <w:pPr>
              <w:spacing w:after="0" w:line="240" w:lineRule="auto"/>
              <w:rPr>
                <w:sz w:val="16"/>
                <w:szCs w:val="16"/>
              </w:rPr>
            </w:pPr>
            <w:r>
              <w:rPr>
                <w:sz w:val="16"/>
                <w:szCs w:val="16"/>
              </w:rPr>
              <w:t>United States</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42" w14:textId="77777777" w:rsidR="00031725" w:rsidRDefault="00031725">
            <w:pPr>
              <w:spacing w:after="0" w:line="240" w:lineRule="auto"/>
              <w:rPr>
                <w:sz w:val="16"/>
                <w:szCs w:val="16"/>
              </w:rPr>
            </w:pPr>
          </w:p>
        </w:tc>
      </w:tr>
      <w:tr w:rsidR="00031725" w14:paraId="55F4E475" w14:textId="77777777">
        <w:trPr>
          <w:trHeight w:val="43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43" w14:textId="77777777" w:rsidR="00031725" w:rsidRDefault="00000000">
            <w:pPr>
              <w:spacing w:after="0" w:line="240" w:lineRule="auto"/>
              <w:jc w:val="center"/>
              <w:rPr>
                <w:sz w:val="16"/>
                <w:szCs w:val="16"/>
              </w:rPr>
            </w:pPr>
            <w:r>
              <w:rPr>
                <w:sz w:val="16"/>
                <w:szCs w:val="16"/>
              </w:rPr>
              <w:lastRenderedPageBreak/>
              <w:t>55</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44" w14:textId="77777777" w:rsidR="00031725" w:rsidRDefault="00000000">
            <w:pPr>
              <w:spacing w:after="0" w:line="240" w:lineRule="auto"/>
              <w:rPr>
                <w:sz w:val="16"/>
                <w:szCs w:val="16"/>
              </w:rPr>
            </w:pPr>
            <w:r>
              <w:rPr>
                <w:sz w:val="16"/>
                <w:szCs w:val="16"/>
              </w:rPr>
              <w:t>Davide</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45" w14:textId="77777777" w:rsidR="00031725" w:rsidRDefault="00000000">
            <w:pPr>
              <w:spacing w:after="0" w:line="240" w:lineRule="auto"/>
              <w:rPr>
                <w:sz w:val="16"/>
                <w:szCs w:val="16"/>
              </w:rPr>
            </w:pPr>
            <w:r>
              <w:rPr>
                <w:sz w:val="16"/>
                <w:szCs w:val="16"/>
              </w:rPr>
              <w:t>Rizzo</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46" w14:textId="77777777" w:rsidR="00031725" w:rsidRDefault="00000000">
            <w:pPr>
              <w:spacing w:after="0" w:line="240" w:lineRule="auto"/>
              <w:rPr>
                <w:sz w:val="16"/>
                <w:szCs w:val="16"/>
              </w:rPr>
            </w:pPr>
            <w:r>
              <w:rPr>
                <w:sz w:val="16"/>
                <w:szCs w:val="16"/>
              </w:rPr>
              <w:t>Junior Professor in Landscape Agronomy</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47" w14:textId="77777777" w:rsidR="00031725" w:rsidRDefault="00000000">
            <w:pPr>
              <w:spacing w:after="0" w:line="240" w:lineRule="auto"/>
              <w:rPr>
                <w:sz w:val="16"/>
                <w:szCs w:val="16"/>
              </w:rPr>
            </w:pPr>
            <w:r>
              <w:rPr>
                <w:sz w:val="16"/>
                <w:szCs w:val="16"/>
              </w:rPr>
              <w:t>Institut de Recherche pour le Développement (IRD)</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48" w14:textId="77777777" w:rsidR="00031725" w:rsidRDefault="00000000">
            <w:pPr>
              <w:spacing w:after="0" w:line="240" w:lineRule="auto"/>
              <w:rPr>
                <w:sz w:val="16"/>
                <w:szCs w:val="16"/>
              </w:rPr>
            </w:pPr>
            <w:r>
              <w:rPr>
                <w:sz w:val="16"/>
                <w:szCs w:val="16"/>
              </w:rPr>
              <w:t>France</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49" w14:textId="77777777" w:rsidR="00031725" w:rsidRDefault="00031725">
            <w:pPr>
              <w:spacing w:after="0" w:line="240" w:lineRule="auto"/>
              <w:rPr>
                <w:sz w:val="16"/>
                <w:szCs w:val="16"/>
              </w:rPr>
            </w:pPr>
          </w:p>
        </w:tc>
      </w:tr>
      <w:tr w:rsidR="00031725" w14:paraId="2EED390B"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4A" w14:textId="77777777" w:rsidR="00031725" w:rsidRDefault="00000000">
            <w:pPr>
              <w:spacing w:after="0" w:line="240" w:lineRule="auto"/>
              <w:jc w:val="center"/>
              <w:rPr>
                <w:sz w:val="16"/>
                <w:szCs w:val="16"/>
              </w:rPr>
            </w:pPr>
            <w:r>
              <w:rPr>
                <w:sz w:val="16"/>
                <w:szCs w:val="16"/>
              </w:rPr>
              <w:t>56</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4B" w14:textId="77777777" w:rsidR="00031725" w:rsidRDefault="00000000">
            <w:pPr>
              <w:spacing w:after="0" w:line="240" w:lineRule="auto"/>
              <w:rPr>
                <w:sz w:val="16"/>
                <w:szCs w:val="16"/>
              </w:rPr>
            </w:pPr>
            <w:r>
              <w:rPr>
                <w:sz w:val="16"/>
                <w:szCs w:val="16"/>
              </w:rPr>
              <w:t>Abiel</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4C" w14:textId="77777777" w:rsidR="00031725" w:rsidRDefault="00000000">
            <w:pPr>
              <w:spacing w:after="0" w:line="240" w:lineRule="auto"/>
              <w:rPr>
                <w:sz w:val="16"/>
                <w:szCs w:val="16"/>
              </w:rPr>
            </w:pPr>
            <w:r>
              <w:rPr>
                <w:sz w:val="16"/>
                <w:szCs w:val="16"/>
              </w:rPr>
              <w:t>Roche-Lima</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4D" w14:textId="77777777" w:rsidR="00031725" w:rsidRDefault="00000000">
            <w:pPr>
              <w:spacing w:after="0" w:line="240" w:lineRule="auto"/>
              <w:rPr>
                <w:sz w:val="16"/>
                <w:szCs w:val="16"/>
              </w:rPr>
            </w:pPr>
            <w:r>
              <w:rPr>
                <w:sz w:val="16"/>
                <w:szCs w:val="16"/>
              </w:rPr>
              <w:t>Professor</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4E" w14:textId="77777777" w:rsidR="00031725" w:rsidRDefault="00000000">
            <w:pPr>
              <w:spacing w:after="0" w:line="240" w:lineRule="auto"/>
              <w:rPr>
                <w:sz w:val="16"/>
                <w:szCs w:val="16"/>
              </w:rPr>
            </w:pPr>
            <w:r>
              <w:rPr>
                <w:sz w:val="16"/>
                <w:szCs w:val="16"/>
              </w:rPr>
              <w:t>University of Puerto Rico System</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4F" w14:textId="77777777" w:rsidR="00031725" w:rsidRDefault="00000000">
            <w:pPr>
              <w:spacing w:after="0" w:line="240" w:lineRule="auto"/>
              <w:rPr>
                <w:sz w:val="16"/>
                <w:szCs w:val="16"/>
              </w:rPr>
            </w:pPr>
            <w:r>
              <w:rPr>
                <w:sz w:val="16"/>
                <w:szCs w:val="16"/>
              </w:rPr>
              <w:t>United States</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50" w14:textId="77777777" w:rsidR="00031725" w:rsidRDefault="00031725">
            <w:pPr>
              <w:spacing w:after="0" w:line="240" w:lineRule="auto"/>
              <w:rPr>
                <w:sz w:val="16"/>
                <w:szCs w:val="16"/>
              </w:rPr>
            </w:pPr>
          </w:p>
        </w:tc>
      </w:tr>
      <w:tr w:rsidR="00031725" w14:paraId="5DB21AFC"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51" w14:textId="77777777" w:rsidR="00031725" w:rsidRDefault="00000000">
            <w:pPr>
              <w:spacing w:after="0" w:line="240" w:lineRule="auto"/>
              <w:jc w:val="center"/>
              <w:rPr>
                <w:sz w:val="16"/>
                <w:szCs w:val="16"/>
              </w:rPr>
            </w:pPr>
            <w:r>
              <w:rPr>
                <w:sz w:val="16"/>
                <w:szCs w:val="16"/>
              </w:rPr>
              <w:t>57</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52" w14:textId="77777777" w:rsidR="00031725" w:rsidRDefault="00000000">
            <w:pPr>
              <w:spacing w:after="0" w:line="240" w:lineRule="auto"/>
              <w:rPr>
                <w:sz w:val="16"/>
                <w:szCs w:val="16"/>
              </w:rPr>
            </w:pPr>
            <w:r>
              <w:rPr>
                <w:sz w:val="16"/>
                <w:szCs w:val="16"/>
              </w:rPr>
              <w:t xml:space="preserve">Chokri </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53" w14:textId="77777777" w:rsidR="00031725" w:rsidRDefault="00000000">
            <w:pPr>
              <w:spacing w:after="0" w:line="240" w:lineRule="auto"/>
              <w:rPr>
                <w:sz w:val="16"/>
                <w:szCs w:val="16"/>
              </w:rPr>
            </w:pPr>
            <w:r>
              <w:rPr>
                <w:sz w:val="16"/>
                <w:szCs w:val="16"/>
              </w:rPr>
              <w:t>Ben Romdhane</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54" w14:textId="77777777" w:rsidR="00031725" w:rsidRDefault="00000000">
            <w:pPr>
              <w:spacing w:after="0" w:line="240" w:lineRule="auto"/>
              <w:rPr>
                <w:sz w:val="16"/>
                <w:szCs w:val="16"/>
              </w:rPr>
            </w:pPr>
            <w:r>
              <w:rPr>
                <w:sz w:val="16"/>
                <w:szCs w:val="16"/>
              </w:rPr>
              <w:t>IT Senior Analyst</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55" w14:textId="77777777" w:rsidR="00031725" w:rsidRDefault="00000000">
            <w:pPr>
              <w:spacing w:after="0" w:line="240" w:lineRule="auto"/>
              <w:rPr>
                <w:sz w:val="16"/>
                <w:szCs w:val="16"/>
              </w:rPr>
            </w:pPr>
            <w:r>
              <w:rPr>
                <w:sz w:val="16"/>
                <w:szCs w:val="16"/>
              </w:rPr>
              <w:t>Centre National Universitaire de Documentation Scientifique et Technique (CNUDST)</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56" w14:textId="77777777" w:rsidR="00031725" w:rsidRDefault="00000000">
            <w:pPr>
              <w:spacing w:after="0" w:line="240" w:lineRule="auto"/>
              <w:rPr>
                <w:sz w:val="16"/>
                <w:szCs w:val="16"/>
              </w:rPr>
            </w:pPr>
            <w:r>
              <w:rPr>
                <w:sz w:val="16"/>
                <w:szCs w:val="16"/>
              </w:rPr>
              <w:t>Tunisia</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57" w14:textId="77777777" w:rsidR="00031725" w:rsidRDefault="00031725">
            <w:pPr>
              <w:spacing w:after="0" w:line="240" w:lineRule="auto"/>
              <w:rPr>
                <w:sz w:val="16"/>
                <w:szCs w:val="16"/>
              </w:rPr>
            </w:pPr>
            <w:hyperlink r:id="rId245">
              <w:r>
                <w:rPr>
                  <w:color w:val="1155CC"/>
                  <w:sz w:val="16"/>
                  <w:szCs w:val="16"/>
                  <w:u w:val="single"/>
                </w:rPr>
                <w:t>0000-0001-5437-6706</w:t>
              </w:r>
            </w:hyperlink>
          </w:p>
        </w:tc>
      </w:tr>
      <w:tr w:rsidR="00031725" w14:paraId="14C21409"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58" w14:textId="77777777" w:rsidR="00031725" w:rsidRDefault="00000000">
            <w:pPr>
              <w:spacing w:after="0" w:line="240" w:lineRule="auto"/>
              <w:jc w:val="center"/>
              <w:rPr>
                <w:sz w:val="16"/>
                <w:szCs w:val="16"/>
              </w:rPr>
            </w:pPr>
            <w:r>
              <w:rPr>
                <w:sz w:val="16"/>
                <w:szCs w:val="16"/>
              </w:rPr>
              <w:t>58</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59" w14:textId="77777777" w:rsidR="00031725" w:rsidRDefault="00000000">
            <w:pPr>
              <w:spacing w:after="0" w:line="240" w:lineRule="auto"/>
              <w:rPr>
                <w:sz w:val="16"/>
                <w:szCs w:val="16"/>
              </w:rPr>
            </w:pPr>
            <w:r>
              <w:rPr>
                <w:sz w:val="16"/>
                <w:szCs w:val="16"/>
              </w:rPr>
              <w:t>Marco</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5A" w14:textId="77777777" w:rsidR="00031725" w:rsidRDefault="00000000">
            <w:pPr>
              <w:spacing w:after="0" w:line="240" w:lineRule="auto"/>
              <w:rPr>
                <w:sz w:val="16"/>
                <w:szCs w:val="16"/>
              </w:rPr>
            </w:pPr>
            <w:r>
              <w:rPr>
                <w:sz w:val="16"/>
                <w:szCs w:val="16"/>
              </w:rPr>
              <w:t>Rorro</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5B" w14:textId="77777777" w:rsidR="00031725" w:rsidRDefault="00000000">
            <w:pPr>
              <w:spacing w:after="0" w:line="240" w:lineRule="auto"/>
              <w:rPr>
                <w:sz w:val="16"/>
                <w:szCs w:val="16"/>
              </w:rPr>
            </w:pPr>
            <w:r>
              <w:rPr>
                <w:sz w:val="16"/>
                <w:szCs w:val="16"/>
              </w:rPr>
              <w:t>AI Solutions Architect</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5C" w14:textId="77777777" w:rsidR="00031725" w:rsidRDefault="00000000">
            <w:pPr>
              <w:spacing w:after="0" w:line="240" w:lineRule="auto"/>
              <w:rPr>
                <w:sz w:val="16"/>
                <w:szCs w:val="16"/>
              </w:rPr>
            </w:pPr>
            <w:r>
              <w:rPr>
                <w:sz w:val="16"/>
                <w:szCs w:val="16"/>
              </w:rPr>
              <w:t>EGI Foundation</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5D" w14:textId="77777777" w:rsidR="00031725" w:rsidRDefault="00000000">
            <w:pPr>
              <w:spacing w:after="0" w:line="240" w:lineRule="auto"/>
              <w:rPr>
                <w:sz w:val="16"/>
                <w:szCs w:val="16"/>
              </w:rPr>
            </w:pPr>
            <w:r>
              <w:rPr>
                <w:sz w:val="16"/>
                <w:szCs w:val="16"/>
              </w:rPr>
              <w:t>Netherlands / Italy</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5E" w14:textId="77777777" w:rsidR="00031725" w:rsidRDefault="00031725">
            <w:pPr>
              <w:spacing w:after="0" w:line="240" w:lineRule="auto"/>
              <w:rPr>
                <w:sz w:val="16"/>
                <w:szCs w:val="16"/>
              </w:rPr>
            </w:pPr>
            <w:hyperlink r:id="rId246">
              <w:r>
                <w:rPr>
                  <w:color w:val="1155CC"/>
                  <w:sz w:val="16"/>
                  <w:szCs w:val="16"/>
                  <w:u w:val="single"/>
                </w:rPr>
                <w:t>0009-0002-6260-1007</w:t>
              </w:r>
            </w:hyperlink>
          </w:p>
        </w:tc>
      </w:tr>
      <w:tr w:rsidR="00031725" w14:paraId="7487529E"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5F" w14:textId="77777777" w:rsidR="00031725" w:rsidRDefault="00000000">
            <w:pPr>
              <w:spacing w:after="0" w:line="240" w:lineRule="auto"/>
              <w:jc w:val="center"/>
              <w:rPr>
                <w:sz w:val="16"/>
                <w:szCs w:val="16"/>
              </w:rPr>
            </w:pPr>
            <w:r>
              <w:rPr>
                <w:sz w:val="16"/>
                <w:szCs w:val="16"/>
              </w:rPr>
              <w:t>59</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60" w14:textId="77777777" w:rsidR="00031725" w:rsidRDefault="00000000">
            <w:pPr>
              <w:spacing w:after="0" w:line="240" w:lineRule="auto"/>
              <w:rPr>
                <w:sz w:val="16"/>
                <w:szCs w:val="16"/>
              </w:rPr>
            </w:pPr>
            <w:r>
              <w:rPr>
                <w:sz w:val="16"/>
                <w:szCs w:val="16"/>
              </w:rPr>
              <w:t>Anna</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61" w14:textId="77777777" w:rsidR="00031725" w:rsidRDefault="00000000">
            <w:pPr>
              <w:spacing w:after="0" w:line="240" w:lineRule="auto"/>
              <w:rPr>
                <w:sz w:val="16"/>
                <w:szCs w:val="16"/>
              </w:rPr>
            </w:pPr>
            <w:r>
              <w:rPr>
                <w:sz w:val="16"/>
                <w:szCs w:val="16"/>
              </w:rPr>
              <w:t>Sackmann</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62" w14:textId="77777777" w:rsidR="00031725" w:rsidRDefault="00000000">
            <w:pPr>
              <w:spacing w:after="0" w:line="240" w:lineRule="auto"/>
              <w:rPr>
                <w:sz w:val="16"/>
                <w:szCs w:val="16"/>
              </w:rPr>
            </w:pPr>
            <w:r>
              <w:rPr>
                <w:sz w:val="16"/>
                <w:szCs w:val="16"/>
              </w:rPr>
              <w:t>Data Services Librarian</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63" w14:textId="77777777" w:rsidR="00031725" w:rsidRDefault="00000000">
            <w:pPr>
              <w:spacing w:after="0" w:line="240" w:lineRule="auto"/>
              <w:rPr>
                <w:sz w:val="16"/>
                <w:szCs w:val="16"/>
              </w:rPr>
            </w:pPr>
            <w:r>
              <w:rPr>
                <w:sz w:val="16"/>
                <w:szCs w:val="16"/>
              </w:rPr>
              <w:t>University of California, Berkeley (UC Berkeley)</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64" w14:textId="77777777" w:rsidR="00031725" w:rsidRDefault="00000000">
            <w:pPr>
              <w:spacing w:after="0" w:line="240" w:lineRule="auto"/>
              <w:rPr>
                <w:sz w:val="16"/>
                <w:szCs w:val="16"/>
              </w:rPr>
            </w:pPr>
            <w:r>
              <w:rPr>
                <w:sz w:val="16"/>
                <w:szCs w:val="16"/>
              </w:rPr>
              <w:t>United States</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65" w14:textId="77777777" w:rsidR="00031725" w:rsidRDefault="00031725">
            <w:pPr>
              <w:spacing w:after="0" w:line="240" w:lineRule="auto"/>
              <w:rPr>
                <w:sz w:val="16"/>
                <w:szCs w:val="16"/>
              </w:rPr>
            </w:pPr>
            <w:hyperlink r:id="rId247">
              <w:r>
                <w:rPr>
                  <w:color w:val="1155CC"/>
                  <w:sz w:val="16"/>
                  <w:szCs w:val="16"/>
                  <w:u w:val="single"/>
                </w:rPr>
                <w:t>0000-0002-3852-6951</w:t>
              </w:r>
            </w:hyperlink>
          </w:p>
        </w:tc>
      </w:tr>
      <w:tr w:rsidR="00031725" w14:paraId="06795DD4" w14:textId="77777777">
        <w:trPr>
          <w:trHeight w:val="43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66" w14:textId="77777777" w:rsidR="00031725" w:rsidRDefault="00000000">
            <w:pPr>
              <w:spacing w:after="0" w:line="240" w:lineRule="auto"/>
              <w:jc w:val="center"/>
              <w:rPr>
                <w:sz w:val="16"/>
                <w:szCs w:val="16"/>
              </w:rPr>
            </w:pPr>
            <w:r>
              <w:rPr>
                <w:sz w:val="16"/>
                <w:szCs w:val="16"/>
              </w:rPr>
              <w:t>60</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67" w14:textId="77777777" w:rsidR="00031725" w:rsidRDefault="00000000">
            <w:pPr>
              <w:spacing w:after="0" w:line="240" w:lineRule="auto"/>
              <w:rPr>
                <w:sz w:val="16"/>
                <w:szCs w:val="16"/>
              </w:rPr>
            </w:pPr>
            <w:r>
              <w:rPr>
                <w:sz w:val="16"/>
                <w:szCs w:val="16"/>
              </w:rPr>
              <w:t>Habiba</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68" w14:textId="77777777" w:rsidR="00031725" w:rsidRDefault="00000000">
            <w:pPr>
              <w:spacing w:after="0" w:line="240" w:lineRule="auto"/>
              <w:rPr>
                <w:sz w:val="16"/>
                <w:szCs w:val="16"/>
              </w:rPr>
            </w:pPr>
            <w:r>
              <w:rPr>
                <w:sz w:val="16"/>
                <w:szCs w:val="16"/>
              </w:rPr>
              <w:t>Sarhan</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69" w14:textId="77777777" w:rsidR="00031725" w:rsidRDefault="00000000">
            <w:pPr>
              <w:spacing w:after="0" w:line="240" w:lineRule="auto"/>
              <w:rPr>
                <w:sz w:val="16"/>
                <w:szCs w:val="16"/>
              </w:rPr>
            </w:pPr>
            <w:r>
              <w:rPr>
                <w:sz w:val="16"/>
                <w:szCs w:val="16"/>
              </w:rPr>
              <w:t>Model Behaviour and Responsible AI Lead</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6A" w14:textId="77777777" w:rsidR="00031725" w:rsidRDefault="00000000">
            <w:pPr>
              <w:spacing w:after="0" w:line="240" w:lineRule="auto"/>
              <w:rPr>
                <w:sz w:val="16"/>
                <w:szCs w:val="16"/>
              </w:rPr>
            </w:pPr>
            <w:r>
              <w:rPr>
                <w:sz w:val="16"/>
                <w:szCs w:val="16"/>
              </w:rPr>
              <w:t>GaiaLogic AG / Technical University of Munich (TUM)</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6B" w14:textId="77777777" w:rsidR="00031725" w:rsidRDefault="00000000">
            <w:pPr>
              <w:spacing w:after="0" w:line="240" w:lineRule="auto"/>
              <w:rPr>
                <w:sz w:val="16"/>
                <w:szCs w:val="16"/>
              </w:rPr>
            </w:pPr>
            <w:r>
              <w:rPr>
                <w:sz w:val="16"/>
                <w:szCs w:val="16"/>
              </w:rPr>
              <w:t>Germany</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6C" w14:textId="77777777" w:rsidR="00031725" w:rsidRDefault="00031725">
            <w:pPr>
              <w:spacing w:after="0" w:line="240" w:lineRule="auto"/>
              <w:rPr>
                <w:sz w:val="16"/>
                <w:szCs w:val="16"/>
              </w:rPr>
            </w:pPr>
          </w:p>
        </w:tc>
      </w:tr>
      <w:tr w:rsidR="00031725" w14:paraId="79114D2D"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6D" w14:textId="77777777" w:rsidR="00031725" w:rsidRDefault="00000000">
            <w:pPr>
              <w:spacing w:after="0" w:line="240" w:lineRule="auto"/>
              <w:jc w:val="center"/>
              <w:rPr>
                <w:sz w:val="16"/>
                <w:szCs w:val="16"/>
              </w:rPr>
            </w:pPr>
            <w:r>
              <w:rPr>
                <w:sz w:val="16"/>
                <w:szCs w:val="16"/>
              </w:rPr>
              <w:t>61</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6E" w14:textId="77777777" w:rsidR="00031725" w:rsidRDefault="00000000">
            <w:pPr>
              <w:spacing w:after="0" w:line="240" w:lineRule="auto"/>
              <w:rPr>
                <w:sz w:val="16"/>
                <w:szCs w:val="16"/>
              </w:rPr>
            </w:pPr>
            <w:r>
              <w:rPr>
                <w:sz w:val="16"/>
                <w:szCs w:val="16"/>
              </w:rPr>
              <w:t>Bernd</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6F" w14:textId="77777777" w:rsidR="00031725" w:rsidRDefault="00000000">
            <w:pPr>
              <w:spacing w:after="0" w:line="240" w:lineRule="auto"/>
              <w:rPr>
                <w:sz w:val="16"/>
                <w:szCs w:val="16"/>
              </w:rPr>
            </w:pPr>
            <w:r>
              <w:rPr>
                <w:sz w:val="16"/>
                <w:szCs w:val="16"/>
              </w:rPr>
              <w:t>Saurugger</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70" w14:textId="77777777" w:rsidR="00031725" w:rsidRDefault="00000000">
            <w:pPr>
              <w:spacing w:after="0" w:line="240" w:lineRule="auto"/>
              <w:rPr>
                <w:sz w:val="16"/>
                <w:szCs w:val="16"/>
              </w:rPr>
            </w:pPr>
            <w:r>
              <w:rPr>
                <w:sz w:val="16"/>
                <w:szCs w:val="16"/>
              </w:rPr>
              <w:t>Researcher</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71" w14:textId="77777777" w:rsidR="00031725" w:rsidRDefault="00000000">
            <w:pPr>
              <w:spacing w:after="0" w:line="240" w:lineRule="auto"/>
              <w:rPr>
                <w:sz w:val="16"/>
                <w:szCs w:val="16"/>
              </w:rPr>
            </w:pPr>
            <w:r>
              <w:rPr>
                <w:sz w:val="16"/>
                <w:szCs w:val="16"/>
              </w:rPr>
              <w:t>Technische Universität Wien (TU Wien)</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72" w14:textId="77777777" w:rsidR="00031725" w:rsidRDefault="00000000">
            <w:pPr>
              <w:spacing w:after="0" w:line="240" w:lineRule="auto"/>
              <w:rPr>
                <w:sz w:val="16"/>
                <w:szCs w:val="16"/>
              </w:rPr>
            </w:pPr>
            <w:r>
              <w:rPr>
                <w:sz w:val="16"/>
                <w:szCs w:val="16"/>
              </w:rPr>
              <w:t>Austria</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73" w14:textId="77777777" w:rsidR="00031725" w:rsidRDefault="00031725">
            <w:pPr>
              <w:spacing w:after="0" w:line="240" w:lineRule="auto"/>
              <w:rPr>
                <w:sz w:val="16"/>
                <w:szCs w:val="16"/>
              </w:rPr>
            </w:pPr>
          </w:p>
        </w:tc>
      </w:tr>
      <w:tr w:rsidR="00031725" w14:paraId="27CABC46"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74" w14:textId="77777777" w:rsidR="00031725" w:rsidRDefault="00000000">
            <w:pPr>
              <w:spacing w:after="0" w:line="240" w:lineRule="auto"/>
              <w:jc w:val="center"/>
              <w:rPr>
                <w:sz w:val="16"/>
                <w:szCs w:val="16"/>
              </w:rPr>
            </w:pPr>
            <w:r>
              <w:rPr>
                <w:sz w:val="16"/>
                <w:szCs w:val="16"/>
              </w:rPr>
              <w:t>62</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75" w14:textId="77777777" w:rsidR="00031725" w:rsidRDefault="00000000">
            <w:pPr>
              <w:spacing w:after="0" w:line="240" w:lineRule="auto"/>
              <w:rPr>
                <w:sz w:val="16"/>
                <w:szCs w:val="16"/>
              </w:rPr>
            </w:pPr>
            <w:r>
              <w:rPr>
                <w:sz w:val="16"/>
                <w:szCs w:val="16"/>
              </w:rPr>
              <w:t>Hugh</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76" w14:textId="77777777" w:rsidR="00031725" w:rsidRDefault="00000000">
            <w:pPr>
              <w:spacing w:after="0" w:line="240" w:lineRule="auto"/>
              <w:rPr>
                <w:sz w:val="16"/>
                <w:szCs w:val="16"/>
              </w:rPr>
            </w:pPr>
            <w:r>
              <w:rPr>
                <w:sz w:val="16"/>
                <w:szCs w:val="16"/>
              </w:rPr>
              <w:t>Shanahan</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77" w14:textId="77777777" w:rsidR="00031725" w:rsidRDefault="00000000">
            <w:pPr>
              <w:spacing w:after="0" w:line="240" w:lineRule="auto"/>
              <w:rPr>
                <w:sz w:val="16"/>
                <w:szCs w:val="16"/>
              </w:rPr>
            </w:pPr>
            <w:r>
              <w:rPr>
                <w:sz w:val="16"/>
                <w:szCs w:val="16"/>
              </w:rPr>
              <w:t>Professor of Open Science</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78" w14:textId="77777777" w:rsidR="00031725" w:rsidRDefault="00000000">
            <w:pPr>
              <w:spacing w:after="0" w:line="240" w:lineRule="auto"/>
              <w:rPr>
                <w:sz w:val="16"/>
                <w:szCs w:val="16"/>
              </w:rPr>
            </w:pPr>
            <w:r>
              <w:rPr>
                <w:sz w:val="16"/>
                <w:szCs w:val="16"/>
              </w:rPr>
              <w:t>Royal Holloway, University of London</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79" w14:textId="77777777" w:rsidR="00031725" w:rsidRDefault="00000000">
            <w:pPr>
              <w:spacing w:after="0" w:line="240" w:lineRule="auto"/>
              <w:rPr>
                <w:sz w:val="16"/>
                <w:szCs w:val="16"/>
              </w:rPr>
            </w:pPr>
            <w:r>
              <w:rPr>
                <w:sz w:val="16"/>
                <w:szCs w:val="16"/>
              </w:rPr>
              <w:t>United Kingdom</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7A" w14:textId="77777777" w:rsidR="00031725" w:rsidRDefault="00031725">
            <w:pPr>
              <w:spacing w:after="0" w:line="240" w:lineRule="auto"/>
              <w:rPr>
                <w:sz w:val="16"/>
                <w:szCs w:val="16"/>
              </w:rPr>
            </w:pPr>
          </w:p>
        </w:tc>
      </w:tr>
      <w:tr w:rsidR="00031725" w14:paraId="27A585C0"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7B" w14:textId="77777777" w:rsidR="00031725" w:rsidRDefault="00000000">
            <w:pPr>
              <w:spacing w:after="0" w:line="240" w:lineRule="auto"/>
              <w:jc w:val="center"/>
              <w:rPr>
                <w:sz w:val="16"/>
                <w:szCs w:val="16"/>
              </w:rPr>
            </w:pPr>
            <w:r>
              <w:rPr>
                <w:sz w:val="16"/>
                <w:szCs w:val="16"/>
              </w:rPr>
              <w:t>63</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7C" w14:textId="77777777" w:rsidR="00031725" w:rsidRDefault="00000000">
            <w:pPr>
              <w:spacing w:after="0" w:line="240" w:lineRule="auto"/>
              <w:rPr>
                <w:sz w:val="16"/>
                <w:szCs w:val="16"/>
              </w:rPr>
            </w:pPr>
            <w:r>
              <w:rPr>
                <w:sz w:val="16"/>
                <w:szCs w:val="16"/>
              </w:rPr>
              <w:t>Jonathan</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7D" w14:textId="77777777" w:rsidR="00031725" w:rsidRDefault="00000000">
            <w:pPr>
              <w:spacing w:after="0" w:line="240" w:lineRule="auto"/>
              <w:rPr>
                <w:sz w:val="16"/>
                <w:szCs w:val="16"/>
              </w:rPr>
            </w:pPr>
            <w:r>
              <w:rPr>
                <w:sz w:val="16"/>
                <w:szCs w:val="16"/>
              </w:rPr>
              <w:t>Starr</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7E" w14:textId="77777777" w:rsidR="00031725" w:rsidRDefault="00000000">
            <w:pPr>
              <w:spacing w:after="0" w:line="240" w:lineRule="auto"/>
              <w:rPr>
                <w:sz w:val="16"/>
                <w:szCs w:val="16"/>
              </w:rPr>
            </w:pPr>
            <w:r>
              <w:rPr>
                <w:sz w:val="16"/>
                <w:szCs w:val="16"/>
              </w:rPr>
              <w:t>Executive Director</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7F" w14:textId="77777777" w:rsidR="00031725" w:rsidRDefault="00000000">
            <w:pPr>
              <w:spacing w:after="0" w:line="240" w:lineRule="auto"/>
              <w:rPr>
                <w:sz w:val="16"/>
                <w:szCs w:val="16"/>
              </w:rPr>
            </w:pPr>
            <w:r>
              <w:rPr>
                <w:sz w:val="16"/>
                <w:szCs w:val="16"/>
              </w:rPr>
              <w:t>Open Source Endowment</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80" w14:textId="77777777" w:rsidR="00031725" w:rsidRDefault="00000000">
            <w:pPr>
              <w:spacing w:after="0" w:line="240" w:lineRule="auto"/>
              <w:rPr>
                <w:sz w:val="16"/>
                <w:szCs w:val="16"/>
              </w:rPr>
            </w:pPr>
            <w:r>
              <w:rPr>
                <w:sz w:val="16"/>
                <w:szCs w:val="16"/>
              </w:rPr>
              <w:t>United States</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81" w14:textId="77777777" w:rsidR="00031725" w:rsidRDefault="00031725">
            <w:pPr>
              <w:spacing w:after="0" w:line="240" w:lineRule="auto"/>
              <w:rPr>
                <w:sz w:val="16"/>
                <w:szCs w:val="16"/>
              </w:rPr>
            </w:pPr>
          </w:p>
        </w:tc>
      </w:tr>
      <w:tr w:rsidR="00031725" w14:paraId="1408D2B2"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82" w14:textId="77777777" w:rsidR="00031725" w:rsidRDefault="00000000">
            <w:pPr>
              <w:spacing w:after="0" w:line="240" w:lineRule="auto"/>
              <w:jc w:val="center"/>
              <w:rPr>
                <w:sz w:val="16"/>
                <w:szCs w:val="16"/>
              </w:rPr>
            </w:pPr>
            <w:r>
              <w:rPr>
                <w:sz w:val="16"/>
                <w:szCs w:val="16"/>
              </w:rPr>
              <w:t>64</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83" w14:textId="77777777" w:rsidR="00031725" w:rsidRDefault="00000000">
            <w:pPr>
              <w:spacing w:after="0" w:line="240" w:lineRule="auto"/>
              <w:rPr>
                <w:sz w:val="16"/>
                <w:szCs w:val="16"/>
              </w:rPr>
            </w:pPr>
            <w:r>
              <w:rPr>
                <w:sz w:val="16"/>
                <w:szCs w:val="16"/>
              </w:rPr>
              <w:t>Frankie</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84" w14:textId="77777777" w:rsidR="00031725" w:rsidRDefault="00000000">
            <w:pPr>
              <w:spacing w:after="0" w:line="240" w:lineRule="auto"/>
              <w:rPr>
                <w:sz w:val="16"/>
                <w:szCs w:val="16"/>
              </w:rPr>
            </w:pPr>
            <w:r>
              <w:rPr>
                <w:sz w:val="16"/>
                <w:szCs w:val="16"/>
              </w:rPr>
              <w:t>Stevens</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85" w14:textId="77777777" w:rsidR="00031725" w:rsidRDefault="00000000">
            <w:pPr>
              <w:spacing w:after="0" w:line="240" w:lineRule="auto"/>
              <w:rPr>
                <w:sz w:val="16"/>
                <w:szCs w:val="16"/>
              </w:rPr>
            </w:pPr>
            <w:r>
              <w:rPr>
                <w:sz w:val="16"/>
                <w:szCs w:val="16"/>
              </w:rPr>
              <w:t>Director</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86" w14:textId="77777777" w:rsidR="00031725" w:rsidRDefault="00000000">
            <w:pPr>
              <w:spacing w:after="0" w:line="240" w:lineRule="auto"/>
              <w:rPr>
                <w:sz w:val="16"/>
                <w:szCs w:val="16"/>
              </w:rPr>
            </w:pPr>
            <w:r>
              <w:rPr>
                <w:sz w:val="16"/>
                <w:szCs w:val="16"/>
              </w:rPr>
              <w:t>Research Infrastructure Services</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87" w14:textId="77777777" w:rsidR="00031725" w:rsidRDefault="00000000">
            <w:pPr>
              <w:spacing w:after="0" w:line="240" w:lineRule="auto"/>
              <w:rPr>
                <w:sz w:val="16"/>
                <w:szCs w:val="16"/>
              </w:rPr>
            </w:pPr>
            <w:r>
              <w:rPr>
                <w:sz w:val="16"/>
                <w:szCs w:val="16"/>
              </w:rPr>
              <w:t>Australia</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88" w14:textId="77777777" w:rsidR="00031725" w:rsidRDefault="00031725">
            <w:pPr>
              <w:spacing w:after="0" w:line="240" w:lineRule="auto"/>
              <w:rPr>
                <w:sz w:val="16"/>
                <w:szCs w:val="16"/>
              </w:rPr>
            </w:pPr>
          </w:p>
        </w:tc>
      </w:tr>
      <w:tr w:rsidR="00031725" w14:paraId="3187B621"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89" w14:textId="77777777" w:rsidR="00031725" w:rsidRDefault="00000000">
            <w:pPr>
              <w:spacing w:after="0" w:line="240" w:lineRule="auto"/>
              <w:jc w:val="center"/>
              <w:rPr>
                <w:sz w:val="16"/>
                <w:szCs w:val="16"/>
              </w:rPr>
            </w:pPr>
            <w:r>
              <w:rPr>
                <w:sz w:val="16"/>
                <w:szCs w:val="16"/>
              </w:rPr>
              <w:t>65</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8A" w14:textId="77777777" w:rsidR="00031725" w:rsidRDefault="00000000">
            <w:pPr>
              <w:spacing w:after="0" w:line="240" w:lineRule="auto"/>
              <w:rPr>
                <w:sz w:val="16"/>
                <w:szCs w:val="16"/>
              </w:rPr>
            </w:pPr>
            <w:r>
              <w:rPr>
                <w:sz w:val="16"/>
                <w:szCs w:val="16"/>
              </w:rPr>
              <w:t>Joanne</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8B" w14:textId="77777777" w:rsidR="00031725" w:rsidRDefault="00000000">
            <w:pPr>
              <w:spacing w:after="0" w:line="240" w:lineRule="auto"/>
              <w:rPr>
                <w:sz w:val="16"/>
                <w:szCs w:val="16"/>
              </w:rPr>
            </w:pPr>
            <w:r>
              <w:rPr>
                <w:sz w:val="16"/>
                <w:szCs w:val="16"/>
              </w:rPr>
              <w:t>Stocks</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8C" w14:textId="77777777" w:rsidR="00031725" w:rsidRDefault="00000000">
            <w:pPr>
              <w:spacing w:after="0" w:line="240" w:lineRule="auto"/>
              <w:rPr>
                <w:sz w:val="16"/>
                <w:szCs w:val="16"/>
              </w:rPr>
            </w:pPr>
            <w:r>
              <w:rPr>
                <w:sz w:val="16"/>
                <w:szCs w:val="16"/>
              </w:rPr>
              <w:t>Senior Research Fellow</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8D" w14:textId="77777777" w:rsidR="00031725" w:rsidRDefault="00000000">
            <w:pPr>
              <w:spacing w:after="0" w:line="240" w:lineRule="auto"/>
              <w:rPr>
                <w:sz w:val="16"/>
                <w:szCs w:val="16"/>
              </w:rPr>
            </w:pPr>
            <w:r>
              <w:rPr>
                <w:sz w:val="16"/>
                <w:szCs w:val="16"/>
              </w:rPr>
              <w:t>University of Nottingham</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8E" w14:textId="77777777" w:rsidR="00031725" w:rsidRDefault="00000000">
            <w:pPr>
              <w:spacing w:after="0" w:line="240" w:lineRule="auto"/>
              <w:rPr>
                <w:sz w:val="16"/>
                <w:szCs w:val="16"/>
              </w:rPr>
            </w:pPr>
            <w:r>
              <w:rPr>
                <w:sz w:val="16"/>
                <w:szCs w:val="16"/>
              </w:rPr>
              <w:t>United Kingdom</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8F" w14:textId="77777777" w:rsidR="00031725" w:rsidRDefault="00031725">
            <w:pPr>
              <w:spacing w:after="0" w:line="240" w:lineRule="auto"/>
              <w:rPr>
                <w:sz w:val="16"/>
                <w:szCs w:val="16"/>
              </w:rPr>
            </w:pPr>
            <w:hyperlink r:id="rId248">
              <w:r>
                <w:rPr>
                  <w:color w:val="1155CC"/>
                  <w:sz w:val="16"/>
                  <w:szCs w:val="16"/>
                  <w:u w:val="single"/>
                </w:rPr>
                <w:t>0000-0002-7800-6002</w:t>
              </w:r>
            </w:hyperlink>
          </w:p>
        </w:tc>
      </w:tr>
      <w:tr w:rsidR="00031725" w14:paraId="3E62E40F"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90" w14:textId="77777777" w:rsidR="00031725" w:rsidRDefault="00000000">
            <w:pPr>
              <w:spacing w:after="0" w:line="240" w:lineRule="auto"/>
              <w:jc w:val="center"/>
              <w:rPr>
                <w:sz w:val="16"/>
                <w:szCs w:val="16"/>
              </w:rPr>
            </w:pPr>
            <w:r>
              <w:rPr>
                <w:sz w:val="16"/>
                <w:szCs w:val="16"/>
              </w:rPr>
              <w:t>66</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91" w14:textId="77777777" w:rsidR="00031725" w:rsidRDefault="00000000">
            <w:pPr>
              <w:spacing w:after="0" w:line="240" w:lineRule="auto"/>
              <w:rPr>
                <w:sz w:val="16"/>
                <w:szCs w:val="16"/>
              </w:rPr>
            </w:pPr>
            <w:r>
              <w:rPr>
                <w:sz w:val="16"/>
                <w:szCs w:val="16"/>
              </w:rPr>
              <w:t>Veronika</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92" w14:textId="77777777" w:rsidR="00031725" w:rsidRDefault="00000000">
            <w:pPr>
              <w:spacing w:after="0" w:line="240" w:lineRule="auto"/>
              <w:rPr>
                <w:sz w:val="16"/>
                <w:szCs w:val="16"/>
              </w:rPr>
            </w:pPr>
            <w:r>
              <w:rPr>
                <w:sz w:val="16"/>
                <w:szCs w:val="16"/>
              </w:rPr>
              <w:t>Stoka</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93" w14:textId="77777777" w:rsidR="00031725" w:rsidRDefault="00000000">
            <w:pPr>
              <w:spacing w:after="0" w:line="240" w:lineRule="auto"/>
              <w:rPr>
                <w:sz w:val="16"/>
                <w:szCs w:val="16"/>
              </w:rPr>
            </w:pPr>
            <w:r>
              <w:rPr>
                <w:sz w:val="16"/>
                <w:szCs w:val="16"/>
              </w:rPr>
              <w:t>Professor</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94" w14:textId="77777777" w:rsidR="00031725" w:rsidRDefault="00000000">
            <w:pPr>
              <w:spacing w:after="0" w:line="240" w:lineRule="auto"/>
              <w:rPr>
                <w:sz w:val="16"/>
                <w:szCs w:val="16"/>
              </w:rPr>
            </w:pPr>
            <w:r>
              <w:rPr>
                <w:sz w:val="16"/>
                <w:szCs w:val="16"/>
              </w:rPr>
              <w:t>Jožef Stefan Institute (JSI)</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95" w14:textId="77777777" w:rsidR="00031725" w:rsidRDefault="00000000">
            <w:pPr>
              <w:spacing w:after="0" w:line="240" w:lineRule="auto"/>
              <w:rPr>
                <w:sz w:val="16"/>
                <w:szCs w:val="16"/>
              </w:rPr>
            </w:pPr>
            <w:r>
              <w:rPr>
                <w:sz w:val="16"/>
                <w:szCs w:val="16"/>
              </w:rPr>
              <w:t>Slovenia</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96" w14:textId="77777777" w:rsidR="00031725" w:rsidRDefault="00031725">
            <w:pPr>
              <w:spacing w:after="0" w:line="240" w:lineRule="auto"/>
              <w:rPr>
                <w:sz w:val="16"/>
                <w:szCs w:val="16"/>
              </w:rPr>
            </w:pPr>
          </w:p>
        </w:tc>
      </w:tr>
      <w:tr w:rsidR="00031725" w14:paraId="72D3E5A5"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97" w14:textId="77777777" w:rsidR="00031725" w:rsidRDefault="00000000">
            <w:pPr>
              <w:spacing w:after="0" w:line="240" w:lineRule="auto"/>
              <w:jc w:val="center"/>
              <w:rPr>
                <w:sz w:val="16"/>
                <w:szCs w:val="16"/>
              </w:rPr>
            </w:pPr>
            <w:r>
              <w:rPr>
                <w:sz w:val="16"/>
                <w:szCs w:val="16"/>
              </w:rPr>
              <w:t>67</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98" w14:textId="77777777" w:rsidR="00031725" w:rsidRDefault="00000000">
            <w:pPr>
              <w:spacing w:after="0" w:line="240" w:lineRule="auto"/>
              <w:rPr>
                <w:sz w:val="16"/>
                <w:szCs w:val="16"/>
              </w:rPr>
            </w:pPr>
            <w:r>
              <w:rPr>
                <w:sz w:val="16"/>
                <w:szCs w:val="16"/>
              </w:rPr>
              <w:t>Janine</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99" w14:textId="77777777" w:rsidR="00031725" w:rsidRDefault="00000000">
            <w:pPr>
              <w:spacing w:after="0" w:line="240" w:lineRule="auto"/>
              <w:rPr>
                <w:sz w:val="16"/>
                <w:szCs w:val="16"/>
              </w:rPr>
            </w:pPr>
            <w:r>
              <w:rPr>
                <w:sz w:val="16"/>
                <w:szCs w:val="16"/>
              </w:rPr>
              <w:t>Strandberg</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9A" w14:textId="77777777" w:rsidR="00031725" w:rsidRDefault="00000000">
            <w:pPr>
              <w:spacing w:after="0" w:line="240" w:lineRule="auto"/>
              <w:rPr>
                <w:sz w:val="16"/>
                <w:szCs w:val="16"/>
              </w:rPr>
            </w:pPr>
            <w:r>
              <w:rPr>
                <w:sz w:val="16"/>
                <w:szCs w:val="16"/>
              </w:rPr>
              <w:t>Data Steward</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9B" w14:textId="77777777" w:rsidR="00031725" w:rsidRDefault="00000000">
            <w:pPr>
              <w:spacing w:after="0" w:line="240" w:lineRule="auto"/>
              <w:rPr>
                <w:sz w:val="16"/>
                <w:szCs w:val="16"/>
              </w:rPr>
            </w:pPr>
            <w:r>
              <w:rPr>
                <w:sz w:val="16"/>
                <w:szCs w:val="16"/>
              </w:rPr>
              <w:t>Delft University of Technology</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9C" w14:textId="77777777" w:rsidR="00031725" w:rsidRDefault="00000000">
            <w:pPr>
              <w:spacing w:after="0" w:line="240" w:lineRule="auto"/>
              <w:rPr>
                <w:sz w:val="16"/>
                <w:szCs w:val="16"/>
              </w:rPr>
            </w:pPr>
            <w:r>
              <w:rPr>
                <w:sz w:val="16"/>
                <w:szCs w:val="16"/>
              </w:rPr>
              <w:t>Netherlands</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9D" w14:textId="77777777" w:rsidR="00031725" w:rsidRDefault="00031725">
            <w:pPr>
              <w:spacing w:after="0" w:line="240" w:lineRule="auto"/>
              <w:rPr>
                <w:sz w:val="16"/>
                <w:szCs w:val="16"/>
              </w:rPr>
            </w:pPr>
            <w:hyperlink r:id="rId249">
              <w:r>
                <w:rPr>
                  <w:color w:val="1155CC"/>
                  <w:sz w:val="16"/>
                  <w:szCs w:val="16"/>
                  <w:u w:val="single"/>
                </w:rPr>
                <w:t>0000-0002-0336-5035</w:t>
              </w:r>
            </w:hyperlink>
          </w:p>
        </w:tc>
      </w:tr>
      <w:tr w:rsidR="00031725" w14:paraId="461DCEBF"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9E" w14:textId="77777777" w:rsidR="00031725" w:rsidRDefault="00000000">
            <w:pPr>
              <w:spacing w:after="0" w:line="240" w:lineRule="auto"/>
              <w:jc w:val="center"/>
              <w:rPr>
                <w:sz w:val="16"/>
                <w:szCs w:val="16"/>
              </w:rPr>
            </w:pPr>
            <w:r>
              <w:rPr>
                <w:sz w:val="16"/>
                <w:szCs w:val="16"/>
              </w:rPr>
              <w:t>68</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9F" w14:textId="77777777" w:rsidR="00031725" w:rsidRDefault="00000000">
            <w:pPr>
              <w:spacing w:after="0" w:line="240" w:lineRule="auto"/>
              <w:rPr>
                <w:sz w:val="16"/>
                <w:szCs w:val="16"/>
              </w:rPr>
            </w:pPr>
            <w:r>
              <w:rPr>
                <w:sz w:val="16"/>
                <w:szCs w:val="16"/>
              </w:rPr>
              <w:t>Jenifer</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A0" w14:textId="77777777" w:rsidR="00031725" w:rsidRDefault="00000000">
            <w:pPr>
              <w:spacing w:after="0" w:line="240" w:lineRule="auto"/>
              <w:rPr>
                <w:sz w:val="16"/>
                <w:szCs w:val="16"/>
              </w:rPr>
            </w:pPr>
            <w:r>
              <w:rPr>
                <w:sz w:val="16"/>
                <w:szCs w:val="16"/>
              </w:rPr>
              <w:t>Tabita Ciuciu-Kiss</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A1" w14:textId="77777777" w:rsidR="00031725" w:rsidRDefault="00000000">
            <w:pPr>
              <w:spacing w:after="0" w:line="240" w:lineRule="auto"/>
              <w:rPr>
                <w:sz w:val="16"/>
                <w:szCs w:val="16"/>
              </w:rPr>
            </w:pPr>
            <w:r>
              <w:rPr>
                <w:sz w:val="16"/>
                <w:szCs w:val="16"/>
              </w:rPr>
              <w:t>Data Engineer</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A2" w14:textId="77777777" w:rsidR="00031725" w:rsidRDefault="00000000">
            <w:pPr>
              <w:spacing w:after="0" w:line="240" w:lineRule="auto"/>
              <w:rPr>
                <w:sz w:val="16"/>
                <w:szCs w:val="16"/>
              </w:rPr>
            </w:pPr>
            <w:r>
              <w:rPr>
                <w:sz w:val="16"/>
                <w:szCs w:val="16"/>
              </w:rPr>
              <w:t>Universidad Politécnica de Madrid (UPM)</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A3" w14:textId="77777777" w:rsidR="00031725" w:rsidRDefault="00000000">
            <w:pPr>
              <w:spacing w:after="0" w:line="240" w:lineRule="auto"/>
              <w:rPr>
                <w:sz w:val="16"/>
                <w:szCs w:val="16"/>
              </w:rPr>
            </w:pPr>
            <w:r>
              <w:rPr>
                <w:sz w:val="16"/>
                <w:szCs w:val="16"/>
              </w:rPr>
              <w:t>Switzerland</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A4" w14:textId="77777777" w:rsidR="00031725" w:rsidRDefault="00031725">
            <w:pPr>
              <w:spacing w:after="0" w:line="240" w:lineRule="auto"/>
              <w:rPr>
                <w:sz w:val="16"/>
                <w:szCs w:val="16"/>
              </w:rPr>
            </w:pPr>
          </w:p>
        </w:tc>
      </w:tr>
      <w:tr w:rsidR="00031725" w14:paraId="00914D22" w14:textId="77777777">
        <w:trPr>
          <w:trHeight w:val="43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A5" w14:textId="77777777" w:rsidR="00031725" w:rsidRDefault="00000000">
            <w:pPr>
              <w:spacing w:after="0" w:line="240" w:lineRule="auto"/>
              <w:jc w:val="center"/>
              <w:rPr>
                <w:sz w:val="16"/>
                <w:szCs w:val="16"/>
              </w:rPr>
            </w:pPr>
            <w:r>
              <w:rPr>
                <w:sz w:val="16"/>
                <w:szCs w:val="16"/>
              </w:rPr>
              <w:t>69</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A6" w14:textId="77777777" w:rsidR="00031725" w:rsidRDefault="00000000">
            <w:pPr>
              <w:spacing w:after="0" w:line="240" w:lineRule="auto"/>
              <w:rPr>
                <w:sz w:val="16"/>
                <w:szCs w:val="16"/>
              </w:rPr>
            </w:pPr>
            <w:r>
              <w:rPr>
                <w:sz w:val="16"/>
                <w:szCs w:val="16"/>
              </w:rPr>
              <w:t>Annerose</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A7" w14:textId="77777777" w:rsidR="00031725" w:rsidRDefault="00000000">
            <w:pPr>
              <w:spacing w:after="0" w:line="240" w:lineRule="auto"/>
              <w:rPr>
                <w:sz w:val="16"/>
                <w:szCs w:val="16"/>
              </w:rPr>
            </w:pPr>
            <w:r>
              <w:rPr>
                <w:sz w:val="16"/>
                <w:szCs w:val="16"/>
              </w:rPr>
              <w:t>Tartler-Ostrizek</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A8" w14:textId="77777777" w:rsidR="00031725" w:rsidRDefault="00000000">
            <w:pPr>
              <w:spacing w:after="0" w:line="240" w:lineRule="auto"/>
              <w:rPr>
                <w:sz w:val="16"/>
                <w:szCs w:val="16"/>
              </w:rPr>
            </w:pPr>
            <w:r>
              <w:rPr>
                <w:sz w:val="16"/>
                <w:szCs w:val="16"/>
              </w:rPr>
              <w:t>Data Steward</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A9" w14:textId="77777777" w:rsidR="00031725" w:rsidRDefault="00000000">
            <w:pPr>
              <w:spacing w:after="0" w:line="240" w:lineRule="auto"/>
              <w:rPr>
                <w:sz w:val="16"/>
                <w:szCs w:val="16"/>
              </w:rPr>
            </w:pPr>
            <w:r>
              <w:rPr>
                <w:sz w:val="16"/>
                <w:szCs w:val="16"/>
              </w:rPr>
              <w:t>FedOSC Belgium / Royal Belgian Institute of Natural Sciences (RBINS)</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AA" w14:textId="77777777" w:rsidR="00031725" w:rsidRDefault="00000000">
            <w:pPr>
              <w:spacing w:after="0" w:line="240" w:lineRule="auto"/>
              <w:rPr>
                <w:sz w:val="16"/>
                <w:szCs w:val="16"/>
              </w:rPr>
            </w:pPr>
            <w:r>
              <w:rPr>
                <w:sz w:val="16"/>
                <w:szCs w:val="16"/>
              </w:rPr>
              <w:t>Belgium</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AB" w14:textId="77777777" w:rsidR="00031725" w:rsidRDefault="00031725">
            <w:pPr>
              <w:spacing w:after="0" w:line="240" w:lineRule="auto"/>
              <w:rPr>
                <w:sz w:val="16"/>
                <w:szCs w:val="16"/>
              </w:rPr>
            </w:pPr>
          </w:p>
        </w:tc>
      </w:tr>
      <w:tr w:rsidR="00031725" w14:paraId="6148B95D"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AC" w14:textId="77777777" w:rsidR="00031725" w:rsidRDefault="00000000">
            <w:pPr>
              <w:spacing w:after="0" w:line="240" w:lineRule="auto"/>
              <w:jc w:val="center"/>
              <w:rPr>
                <w:sz w:val="16"/>
                <w:szCs w:val="16"/>
              </w:rPr>
            </w:pPr>
            <w:r>
              <w:rPr>
                <w:sz w:val="16"/>
                <w:szCs w:val="16"/>
              </w:rPr>
              <w:t>70</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AD" w14:textId="77777777" w:rsidR="00031725" w:rsidRDefault="00000000">
            <w:pPr>
              <w:spacing w:after="0" w:line="240" w:lineRule="auto"/>
              <w:rPr>
                <w:sz w:val="16"/>
                <w:szCs w:val="16"/>
              </w:rPr>
            </w:pPr>
            <w:r>
              <w:rPr>
                <w:sz w:val="16"/>
                <w:szCs w:val="16"/>
              </w:rPr>
              <w:t>Andrew</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AE" w14:textId="77777777" w:rsidR="00031725" w:rsidRDefault="00000000">
            <w:pPr>
              <w:spacing w:after="0" w:line="240" w:lineRule="auto"/>
              <w:rPr>
                <w:sz w:val="16"/>
                <w:szCs w:val="16"/>
              </w:rPr>
            </w:pPr>
            <w:r>
              <w:rPr>
                <w:sz w:val="16"/>
                <w:szCs w:val="16"/>
              </w:rPr>
              <w:t>Treloar</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AF" w14:textId="77777777" w:rsidR="00031725" w:rsidRDefault="00000000">
            <w:pPr>
              <w:spacing w:after="0" w:line="240" w:lineRule="auto"/>
              <w:rPr>
                <w:sz w:val="16"/>
                <w:szCs w:val="16"/>
              </w:rPr>
            </w:pPr>
            <w:r>
              <w:rPr>
                <w:sz w:val="16"/>
                <w:szCs w:val="16"/>
              </w:rPr>
              <w:t>Independent</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B0" w14:textId="77777777" w:rsidR="00031725" w:rsidRDefault="00000000">
            <w:pPr>
              <w:spacing w:after="0" w:line="240" w:lineRule="auto"/>
              <w:rPr>
                <w:sz w:val="16"/>
                <w:szCs w:val="16"/>
              </w:rPr>
            </w:pPr>
            <w:r>
              <w:rPr>
                <w:sz w:val="16"/>
                <w:szCs w:val="16"/>
              </w:rPr>
              <w:t>DRI Consultant</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B1" w14:textId="77777777" w:rsidR="00031725" w:rsidRDefault="00000000">
            <w:pPr>
              <w:spacing w:after="0" w:line="240" w:lineRule="auto"/>
              <w:rPr>
                <w:sz w:val="16"/>
                <w:szCs w:val="16"/>
              </w:rPr>
            </w:pPr>
            <w:r>
              <w:rPr>
                <w:sz w:val="16"/>
                <w:szCs w:val="16"/>
              </w:rPr>
              <w:t>Australia</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B2" w14:textId="77777777" w:rsidR="00031725" w:rsidRDefault="00031725">
            <w:pPr>
              <w:spacing w:after="0" w:line="240" w:lineRule="auto"/>
              <w:rPr>
                <w:sz w:val="16"/>
                <w:szCs w:val="16"/>
              </w:rPr>
            </w:pPr>
            <w:hyperlink r:id="rId250">
              <w:r>
                <w:rPr>
                  <w:color w:val="1155CC"/>
                  <w:sz w:val="16"/>
                  <w:szCs w:val="16"/>
                  <w:u w:val="single"/>
                </w:rPr>
                <w:t>0000-0002-8911-3081</w:t>
              </w:r>
            </w:hyperlink>
          </w:p>
        </w:tc>
      </w:tr>
      <w:tr w:rsidR="00031725" w14:paraId="3DFBFE7A"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B3" w14:textId="77777777" w:rsidR="00031725" w:rsidRDefault="00000000">
            <w:pPr>
              <w:spacing w:after="0" w:line="240" w:lineRule="auto"/>
              <w:jc w:val="center"/>
              <w:rPr>
                <w:sz w:val="16"/>
                <w:szCs w:val="16"/>
              </w:rPr>
            </w:pPr>
            <w:r>
              <w:rPr>
                <w:sz w:val="16"/>
                <w:szCs w:val="16"/>
              </w:rPr>
              <w:t>71</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B4" w14:textId="77777777" w:rsidR="00031725" w:rsidRDefault="00000000">
            <w:pPr>
              <w:spacing w:after="0" w:line="240" w:lineRule="auto"/>
              <w:rPr>
                <w:sz w:val="16"/>
                <w:szCs w:val="16"/>
              </w:rPr>
            </w:pPr>
            <w:r>
              <w:rPr>
                <w:sz w:val="16"/>
                <w:szCs w:val="16"/>
              </w:rPr>
              <w:t>Slava</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B5" w14:textId="77777777" w:rsidR="00031725" w:rsidRDefault="00000000">
            <w:pPr>
              <w:spacing w:after="0" w:line="240" w:lineRule="auto"/>
              <w:rPr>
                <w:sz w:val="16"/>
                <w:szCs w:val="16"/>
              </w:rPr>
            </w:pPr>
            <w:r>
              <w:rPr>
                <w:sz w:val="16"/>
                <w:szCs w:val="16"/>
              </w:rPr>
              <w:t>Tykhonov</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B6" w14:textId="77777777" w:rsidR="00031725" w:rsidRDefault="00000000">
            <w:pPr>
              <w:spacing w:after="0" w:line="240" w:lineRule="auto"/>
              <w:rPr>
                <w:sz w:val="16"/>
                <w:szCs w:val="16"/>
              </w:rPr>
            </w:pPr>
            <w:r>
              <w:rPr>
                <w:sz w:val="16"/>
                <w:szCs w:val="16"/>
              </w:rPr>
              <w:t>Head of AI</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B7" w14:textId="77777777" w:rsidR="00031725" w:rsidRDefault="00000000">
            <w:pPr>
              <w:spacing w:after="0" w:line="240" w:lineRule="auto"/>
              <w:rPr>
                <w:sz w:val="16"/>
                <w:szCs w:val="16"/>
              </w:rPr>
            </w:pPr>
            <w:r>
              <w:rPr>
                <w:sz w:val="16"/>
                <w:szCs w:val="16"/>
              </w:rPr>
              <w:t xml:space="preserve">Committee on Data of the International Science Council (CODATA) </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B8" w14:textId="77777777" w:rsidR="00031725" w:rsidRDefault="00000000">
            <w:pPr>
              <w:spacing w:after="0" w:line="240" w:lineRule="auto"/>
              <w:rPr>
                <w:sz w:val="16"/>
                <w:szCs w:val="16"/>
              </w:rPr>
            </w:pPr>
            <w:r>
              <w:rPr>
                <w:sz w:val="16"/>
                <w:szCs w:val="16"/>
              </w:rPr>
              <w:t>France</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B9" w14:textId="77777777" w:rsidR="00031725" w:rsidRDefault="00031725">
            <w:pPr>
              <w:spacing w:after="0" w:line="240" w:lineRule="auto"/>
              <w:rPr>
                <w:sz w:val="16"/>
                <w:szCs w:val="16"/>
              </w:rPr>
            </w:pPr>
            <w:hyperlink r:id="rId251">
              <w:r>
                <w:rPr>
                  <w:color w:val="1155CC"/>
                  <w:sz w:val="16"/>
                  <w:szCs w:val="16"/>
                  <w:u w:val="single"/>
                </w:rPr>
                <w:t>0000-0001-9447-9830</w:t>
              </w:r>
            </w:hyperlink>
          </w:p>
        </w:tc>
      </w:tr>
      <w:tr w:rsidR="00031725" w14:paraId="075E5D86"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BA" w14:textId="77777777" w:rsidR="00031725" w:rsidRDefault="00000000">
            <w:pPr>
              <w:spacing w:after="0" w:line="240" w:lineRule="auto"/>
              <w:jc w:val="center"/>
              <w:rPr>
                <w:sz w:val="16"/>
                <w:szCs w:val="16"/>
              </w:rPr>
            </w:pPr>
            <w:r>
              <w:rPr>
                <w:sz w:val="16"/>
                <w:szCs w:val="16"/>
              </w:rPr>
              <w:t>72</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BB" w14:textId="77777777" w:rsidR="00031725" w:rsidRDefault="00000000">
            <w:pPr>
              <w:spacing w:after="0" w:line="240" w:lineRule="auto"/>
              <w:rPr>
                <w:sz w:val="16"/>
                <w:szCs w:val="16"/>
              </w:rPr>
            </w:pPr>
            <w:r>
              <w:rPr>
                <w:sz w:val="16"/>
                <w:szCs w:val="16"/>
              </w:rPr>
              <w:t>Raymond</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BC" w14:textId="77777777" w:rsidR="00031725" w:rsidRDefault="00000000">
            <w:pPr>
              <w:spacing w:after="0" w:line="240" w:lineRule="auto"/>
              <w:rPr>
                <w:sz w:val="16"/>
                <w:szCs w:val="16"/>
              </w:rPr>
            </w:pPr>
            <w:r>
              <w:rPr>
                <w:sz w:val="16"/>
                <w:szCs w:val="16"/>
              </w:rPr>
              <w:t>Uzwyshyn</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BD" w14:textId="77777777" w:rsidR="00031725" w:rsidRDefault="00000000">
            <w:pPr>
              <w:spacing w:after="0" w:line="240" w:lineRule="auto"/>
              <w:rPr>
                <w:sz w:val="16"/>
                <w:szCs w:val="16"/>
              </w:rPr>
            </w:pPr>
            <w:r>
              <w:rPr>
                <w:sz w:val="16"/>
                <w:szCs w:val="16"/>
              </w:rPr>
              <w:t>Director, Research and Technology</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BE" w14:textId="77777777" w:rsidR="00031725" w:rsidRDefault="00000000">
            <w:pPr>
              <w:spacing w:after="0" w:line="240" w:lineRule="auto"/>
              <w:rPr>
                <w:sz w:val="16"/>
                <w:szCs w:val="16"/>
              </w:rPr>
            </w:pPr>
            <w:r>
              <w:rPr>
                <w:sz w:val="16"/>
                <w:szCs w:val="16"/>
              </w:rPr>
              <w:t>University of California, Riverside (UCR)</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BF" w14:textId="77777777" w:rsidR="00031725" w:rsidRDefault="00000000">
            <w:pPr>
              <w:spacing w:after="0" w:line="240" w:lineRule="auto"/>
              <w:rPr>
                <w:sz w:val="16"/>
                <w:szCs w:val="16"/>
              </w:rPr>
            </w:pPr>
            <w:r>
              <w:rPr>
                <w:sz w:val="16"/>
                <w:szCs w:val="16"/>
              </w:rPr>
              <w:t>United States</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C0" w14:textId="77777777" w:rsidR="00031725" w:rsidRDefault="00031725">
            <w:pPr>
              <w:spacing w:after="0" w:line="240" w:lineRule="auto"/>
              <w:rPr>
                <w:sz w:val="16"/>
                <w:szCs w:val="16"/>
              </w:rPr>
            </w:pPr>
          </w:p>
        </w:tc>
      </w:tr>
      <w:tr w:rsidR="00031725" w14:paraId="4A3690EE"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C1" w14:textId="77777777" w:rsidR="00031725" w:rsidRDefault="00000000">
            <w:pPr>
              <w:spacing w:after="0" w:line="240" w:lineRule="auto"/>
              <w:jc w:val="center"/>
              <w:rPr>
                <w:sz w:val="16"/>
                <w:szCs w:val="16"/>
              </w:rPr>
            </w:pPr>
            <w:r>
              <w:rPr>
                <w:sz w:val="16"/>
                <w:szCs w:val="16"/>
              </w:rPr>
              <w:t>73</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C2" w14:textId="77777777" w:rsidR="00031725" w:rsidRDefault="00000000">
            <w:pPr>
              <w:spacing w:after="0" w:line="240" w:lineRule="auto"/>
              <w:rPr>
                <w:sz w:val="16"/>
                <w:szCs w:val="16"/>
              </w:rPr>
            </w:pPr>
            <w:r>
              <w:rPr>
                <w:sz w:val="16"/>
                <w:szCs w:val="16"/>
              </w:rPr>
              <w:t>Filippo</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C3" w14:textId="77777777" w:rsidR="00031725" w:rsidRDefault="00000000">
            <w:pPr>
              <w:spacing w:after="0" w:line="240" w:lineRule="auto"/>
              <w:rPr>
                <w:sz w:val="16"/>
                <w:szCs w:val="16"/>
              </w:rPr>
            </w:pPr>
            <w:r>
              <w:rPr>
                <w:sz w:val="16"/>
                <w:szCs w:val="16"/>
              </w:rPr>
              <w:t>Vasone</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C4" w14:textId="77777777" w:rsidR="00031725" w:rsidRDefault="00000000">
            <w:pPr>
              <w:spacing w:after="0" w:line="240" w:lineRule="auto"/>
              <w:rPr>
                <w:sz w:val="16"/>
                <w:szCs w:val="16"/>
              </w:rPr>
            </w:pPr>
            <w:r>
              <w:rPr>
                <w:sz w:val="16"/>
                <w:szCs w:val="16"/>
              </w:rPr>
              <w:t>Data Steward</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C5" w14:textId="77777777" w:rsidR="00031725" w:rsidRDefault="00000000">
            <w:pPr>
              <w:spacing w:after="0" w:line="240" w:lineRule="auto"/>
              <w:rPr>
                <w:sz w:val="16"/>
                <w:szCs w:val="16"/>
              </w:rPr>
            </w:pPr>
            <w:r>
              <w:rPr>
                <w:sz w:val="16"/>
                <w:szCs w:val="16"/>
              </w:rPr>
              <w:t>University of Bologna (Unibo)</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C6" w14:textId="77777777" w:rsidR="00031725" w:rsidRDefault="00000000">
            <w:pPr>
              <w:spacing w:after="0" w:line="240" w:lineRule="auto"/>
              <w:rPr>
                <w:sz w:val="16"/>
                <w:szCs w:val="16"/>
              </w:rPr>
            </w:pPr>
            <w:r>
              <w:rPr>
                <w:sz w:val="16"/>
                <w:szCs w:val="16"/>
              </w:rPr>
              <w:t>Italy</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C7" w14:textId="77777777" w:rsidR="00031725" w:rsidRDefault="00031725">
            <w:pPr>
              <w:spacing w:after="0" w:line="240" w:lineRule="auto"/>
              <w:rPr>
                <w:sz w:val="16"/>
                <w:szCs w:val="16"/>
              </w:rPr>
            </w:pPr>
            <w:hyperlink r:id="rId252">
              <w:r>
                <w:rPr>
                  <w:color w:val="1155CC"/>
                  <w:sz w:val="16"/>
                  <w:szCs w:val="16"/>
                  <w:u w:val="single"/>
                </w:rPr>
                <w:t>0009-0000-9125-8813</w:t>
              </w:r>
            </w:hyperlink>
          </w:p>
        </w:tc>
      </w:tr>
      <w:tr w:rsidR="00031725" w14:paraId="2A62DD98"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C8" w14:textId="77777777" w:rsidR="00031725" w:rsidRDefault="00000000">
            <w:pPr>
              <w:spacing w:after="0" w:line="240" w:lineRule="auto"/>
              <w:jc w:val="center"/>
              <w:rPr>
                <w:sz w:val="16"/>
                <w:szCs w:val="16"/>
              </w:rPr>
            </w:pPr>
            <w:r>
              <w:rPr>
                <w:sz w:val="16"/>
                <w:szCs w:val="16"/>
              </w:rPr>
              <w:t>74</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C9" w14:textId="77777777" w:rsidR="00031725" w:rsidRDefault="00000000">
            <w:pPr>
              <w:spacing w:after="0" w:line="240" w:lineRule="auto"/>
              <w:rPr>
                <w:sz w:val="16"/>
                <w:szCs w:val="16"/>
              </w:rPr>
            </w:pPr>
            <w:r>
              <w:rPr>
                <w:sz w:val="16"/>
                <w:szCs w:val="16"/>
              </w:rPr>
              <w:t>Alex</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CA" w14:textId="77777777" w:rsidR="00031725" w:rsidRDefault="00000000">
            <w:pPr>
              <w:spacing w:after="0" w:line="240" w:lineRule="auto"/>
              <w:rPr>
                <w:sz w:val="16"/>
                <w:szCs w:val="16"/>
              </w:rPr>
            </w:pPr>
            <w:r>
              <w:rPr>
                <w:sz w:val="16"/>
                <w:szCs w:val="16"/>
              </w:rPr>
              <w:t>Wade</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CB" w14:textId="77777777" w:rsidR="00031725" w:rsidRDefault="00000000">
            <w:pPr>
              <w:spacing w:after="0" w:line="240" w:lineRule="auto"/>
              <w:rPr>
                <w:sz w:val="16"/>
                <w:szCs w:val="16"/>
              </w:rPr>
            </w:pPr>
            <w:r>
              <w:rPr>
                <w:sz w:val="16"/>
                <w:szCs w:val="16"/>
              </w:rPr>
              <w:t>Consultant</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CC" w14:textId="77777777" w:rsidR="00031725" w:rsidRDefault="00000000">
            <w:pPr>
              <w:spacing w:after="0" w:line="240" w:lineRule="auto"/>
              <w:rPr>
                <w:sz w:val="16"/>
                <w:szCs w:val="16"/>
              </w:rPr>
            </w:pPr>
            <w:r>
              <w:rPr>
                <w:sz w:val="16"/>
                <w:szCs w:val="16"/>
              </w:rPr>
              <w:t>DataCite</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CD" w14:textId="77777777" w:rsidR="00031725" w:rsidRDefault="00000000">
            <w:pPr>
              <w:spacing w:after="0" w:line="240" w:lineRule="auto"/>
              <w:rPr>
                <w:sz w:val="16"/>
                <w:szCs w:val="16"/>
              </w:rPr>
            </w:pPr>
            <w:r>
              <w:rPr>
                <w:sz w:val="16"/>
                <w:szCs w:val="16"/>
              </w:rPr>
              <w:t>United States</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CE" w14:textId="77777777" w:rsidR="00031725" w:rsidRDefault="00031725">
            <w:pPr>
              <w:spacing w:after="0" w:line="240" w:lineRule="auto"/>
              <w:rPr>
                <w:sz w:val="16"/>
                <w:szCs w:val="16"/>
              </w:rPr>
            </w:pPr>
            <w:hyperlink r:id="rId253">
              <w:r>
                <w:rPr>
                  <w:color w:val="1155CC"/>
                  <w:sz w:val="16"/>
                  <w:szCs w:val="16"/>
                  <w:u w:val="single"/>
                </w:rPr>
                <w:t xml:space="preserve">0000-0002-9366-1507 </w:t>
              </w:r>
            </w:hyperlink>
          </w:p>
        </w:tc>
      </w:tr>
      <w:tr w:rsidR="00031725" w14:paraId="2DDBCF9C"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CF" w14:textId="77777777" w:rsidR="00031725" w:rsidRDefault="00000000">
            <w:pPr>
              <w:spacing w:after="0" w:line="240" w:lineRule="auto"/>
              <w:jc w:val="center"/>
              <w:rPr>
                <w:sz w:val="16"/>
                <w:szCs w:val="16"/>
              </w:rPr>
            </w:pPr>
            <w:r>
              <w:rPr>
                <w:sz w:val="16"/>
                <w:szCs w:val="16"/>
              </w:rPr>
              <w:t>75</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D0" w14:textId="77777777" w:rsidR="00031725" w:rsidRDefault="00000000">
            <w:pPr>
              <w:spacing w:after="0" w:line="240" w:lineRule="auto"/>
              <w:rPr>
                <w:sz w:val="16"/>
                <w:szCs w:val="16"/>
              </w:rPr>
            </w:pPr>
            <w:r>
              <w:rPr>
                <w:sz w:val="16"/>
                <w:szCs w:val="16"/>
              </w:rPr>
              <w:t>Benjamin</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D1" w14:textId="77777777" w:rsidR="00031725" w:rsidRDefault="00000000">
            <w:pPr>
              <w:spacing w:after="0" w:line="240" w:lineRule="auto"/>
              <w:rPr>
                <w:sz w:val="16"/>
                <w:szCs w:val="16"/>
              </w:rPr>
            </w:pPr>
            <w:r>
              <w:rPr>
                <w:sz w:val="16"/>
                <w:szCs w:val="16"/>
              </w:rPr>
              <w:t>Wright-Jones</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D2" w14:textId="77777777" w:rsidR="00031725" w:rsidRDefault="00000000">
            <w:pPr>
              <w:spacing w:after="0" w:line="240" w:lineRule="auto"/>
              <w:rPr>
                <w:sz w:val="16"/>
                <w:szCs w:val="16"/>
              </w:rPr>
            </w:pPr>
            <w:r>
              <w:rPr>
                <w:sz w:val="16"/>
                <w:szCs w:val="16"/>
              </w:rPr>
              <w:t>Software Engineer</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D3" w14:textId="77777777" w:rsidR="00031725" w:rsidRDefault="00000000">
            <w:pPr>
              <w:spacing w:after="0" w:line="240" w:lineRule="auto"/>
              <w:rPr>
                <w:sz w:val="16"/>
                <w:szCs w:val="16"/>
              </w:rPr>
            </w:pPr>
            <w:r>
              <w:rPr>
                <w:sz w:val="16"/>
                <w:szCs w:val="16"/>
              </w:rPr>
              <w:t>Microsoft</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D4" w14:textId="77777777" w:rsidR="00031725" w:rsidRDefault="00000000">
            <w:pPr>
              <w:spacing w:after="0" w:line="240" w:lineRule="auto"/>
              <w:rPr>
                <w:sz w:val="16"/>
                <w:szCs w:val="16"/>
              </w:rPr>
            </w:pPr>
            <w:r>
              <w:rPr>
                <w:sz w:val="16"/>
                <w:szCs w:val="16"/>
              </w:rPr>
              <w:t>United Kingdom</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D5" w14:textId="77777777" w:rsidR="00031725" w:rsidRDefault="00031725">
            <w:pPr>
              <w:spacing w:after="0" w:line="240" w:lineRule="auto"/>
              <w:rPr>
                <w:sz w:val="16"/>
                <w:szCs w:val="16"/>
              </w:rPr>
            </w:pPr>
          </w:p>
        </w:tc>
      </w:tr>
      <w:tr w:rsidR="00031725" w14:paraId="64B860C5"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D6" w14:textId="77777777" w:rsidR="00031725" w:rsidRDefault="00000000">
            <w:pPr>
              <w:spacing w:after="0" w:line="240" w:lineRule="auto"/>
              <w:jc w:val="center"/>
              <w:rPr>
                <w:sz w:val="16"/>
                <w:szCs w:val="16"/>
              </w:rPr>
            </w:pPr>
            <w:r>
              <w:rPr>
                <w:sz w:val="16"/>
                <w:szCs w:val="16"/>
              </w:rPr>
              <w:t>76</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D7" w14:textId="77777777" w:rsidR="00031725" w:rsidRDefault="00000000">
            <w:pPr>
              <w:spacing w:after="0" w:line="240" w:lineRule="auto"/>
              <w:rPr>
                <w:sz w:val="16"/>
                <w:szCs w:val="16"/>
              </w:rPr>
            </w:pPr>
            <w:r>
              <w:rPr>
                <w:sz w:val="16"/>
                <w:szCs w:val="16"/>
              </w:rPr>
              <w:t>Ben</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D8" w14:textId="77777777" w:rsidR="00031725" w:rsidRDefault="00000000">
            <w:pPr>
              <w:spacing w:after="0" w:line="240" w:lineRule="auto"/>
              <w:rPr>
                <w:sz w:val="16"/>
                <w:szCs w:val="16"/>
              </w:rPr>
            </w:pPr>
            <w:r>
              <w:rPr>
                <w:sz w:val="16"/>
                <w:szCs w:val="16"/>
              </w:rPr>
              <w:t>Wu</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D9" w14:textId="77777777" w:rsidR="00031725" w:rsidRDefault="00000000">
            <w:pPr>
              <w:spacing w:after="0" w:line="240" w:lineRule="auto"/>
              <w:rPr>
                <w:sz w:val="16"/>
                <w:szCs w:val="16"/>
              </w:rPr>
            </w:pPr>
            <w:r>
              <w:rPr>
                <w:sz w:val="16"/>
                <w:szCs w:val="16"/>
              </w:rPr>
              <w:t>Principle Consultant</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DA" w14:textId="77777777" w:rsidR="00031725" w:rsidRDefault="00000000">
            <w:pPr>
              <w:spacing w:after="0" w:line="240" w:lineRule="auto"/>
              <w:rPr>
                <w:sz w:val="16"/>
                <w:szCs w:val="16"/>
              </w:rPr>
            </w:pPr>
            <w:r>
              <w:rPr>
                <w:sz w:val="16"/>
                <w:szCs w:val="16"/>
              </w:rPr>
              <w:t>NetApp</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DB" w14:textId="77777777" w:rsidR="00031725" w:rsidRDefault="00000000">
            <w:pPr>
              <w:spacing w:after="0" w:line="240" w:lineRule="auto"/>
              <w:rPr>
                <w:sz w:val="16"/>
                <w:szCs w:val="16"/>
              </w:rPr>
            </w:pPr>
            <w:r>
              <w:rPr>
                <w:sz w:val="16"/>
                <w:szCs w:val="16"/>
              </w:rPr>
              <w:t>Australia</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DC" w14:textId="77777777" w:rsidR="00031725" w:rsidRDefault="00031725">
            <w:pPr>
              <w:spacing w:after="0" w:line="240" w:lineRule="auto"/>
              <w:rPr>
                <w:sz w:val="16"/>
                <w:szCs w:val="16"/>
              </w:rPr>
            </w:pPr>
          </w:p>
        </w:tc>
      </w:tr>
      <w:tr w:rsidR="00031725" w14:paraId="10656240" w14:textId="77777777">
        <w:trPr>
          <w:trHeight w:val="43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DD" w14:textId="77777777" w:rsidR="00031725" w:rsidRDefault="00000000">
            <w:pPr>
              <w:spacing w:after="0" w:line="240" w:lineRule="auto"/>
              <w:jc w:val="center"/>
              <w:rPr>
                <w:sz w:val="16"/>
                <w:szCs w:val="16"/>
              </w:rPr>
            </w:pPr>
            <w:r>
              <w:rPr>
                <w:sz w:val="16"/>
                <w:szCs w:val="16"/>
              </w:rPr>
              <w:t>77</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DE" w14:textId="77777777" w:rsidR="00031725" w:rsidRDefault="00000000">
            <w:pPr>
              <w:spacing w:after="0" w:line="240" w:lineRule="auto"/>
              <w:rPr>
                <w:sz w:val="16"/>
                <w:szCs w:val="16"/>
              </w:rPr>
            </w:pPr>
            <w:r>
              <w:rPr>
                <w:sz w:val="16"/>
                <w:szCs w:val="16"/>
              </w:rPr>
              <w:t>Qi</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DF" w14:textId="77777777" w:rsidR="00031725" w:rsidRDefault="00000000">
            <w:pPr>
              <w:spacing w:after="0" w:line="240" w:lineRule="auto"/>
              <w:rPr>
                <w:sz w:val="16"/>
                <w:szCs w:val="16"/>
              </w:rPr>
            </w:pPr>
            <w:r>
              <w:rPr>
                <w:sz w:val="16"/>
                <w:szCs w:val="16"/>
              </w:rPr>
              <w:t>Zhang</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E0" w14:textId="77777777" w:rsidR="00031725" w:rsidRDefault="00000000">
            <w:pPr>
              <w:spacing w:after="0" w:line="240" w:lineRule="auto"/>
              <w:rPr>
                <w:sz w:val="16"/>
                <w:szCs w:val="16"/>
              </w:rPr>
            </w:pPr>
            <w:r>
              <w:rPr>
                <w:sz w:val="16"/>
                <w:szCs w:val="16"/>
              </w:rPr>
              <w:t>Researcher</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E1" w14:textId="77777777" w:rsidR="00031725" w:rsidRDefault="00000000">
            <w:pPr>
              <w:spacing w:after="0" w:line="240" w:lineRule="auto"/>
              <w:rPr>
                <w:sz w:val="16"/>
                <w:szCs w:val="16"/>
              </w:rPr>
            </w:pPr>
            <w:r>
              <w:rPr>
                <w:sz w:val="16"/>
                <w:szCs w:val="16"/>
              </w:rPr>
              <w:t>Research Organization of Information and Systems (ROIS)</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E2" w14:textId="77777777" w:rsidR="00031725" w:rsidRDefault="00000000">
            <w:pPr>
              <w:spacing w:after="0" w:line="240" w:lineRule="auto"/>
              <w:rPr>
                <w:sz w:val="16"/>
                <w:szCs w:val="16"/>
              </w:rPr>
            </w:pPr>
            <w:r>
              <w:rPr>
                <w:sz w:val="16"/>
                <w:szCs w:val="16"/>
              </w:rPr>
              <w:t>Japan</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E3" w14:textId="77777777" w:rsidR="00031725" w:rsidRDefault="00031725">
            <w:pPr>
              <w:spacing w:after="0" w:line="240" w:lineRule="auto"/>
              <w:rPr>
                <w:sz w:val="16"/>
                <w:szCs w:val="16"/>
              </w:rPr>
            </w:pPr>
          </w:p>
        </w:tc>
      </w:tr>
      <w:tr w:rsidR="00031725" w14:paraId="1C76EE52"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E4" w14:textId="77777777" w:rsidR="00031725" w:rsidRDefault="00000000">
            <w:pPr>
              <w:spacing w:after="0" w:line="240" w:lineRule="auto"/>
              <w:jc w:val="center"/>
              <w:rPr>
                <w:sz w:val="16"/>
                <w:szCs w:val="16"/>
              </w:rPr>
            </w:pPr>
            <w:r>
              <w:rPr>
                <w:sz w:val="16"/>
                <w:szCs w:val="16"/>
              </w:rPr>
              <w:t>78</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E5" w14:textId="77777777" w:rsidR="00031725" w:rsidRDefault="00000000">
            <w:pPr>
              <w:spacing w:after="0" w:line="240" w:lineRule="auto"/>
              <w:rPr>
                <w:sz w:val="16"/>
                <w:szCs w:val="16"/>
              </w:rPr>
            </w:pPr>
            <w:r>
              <w:rPr>
                <w:sz w:val="16"/>
                <w:szCs w:val="16"/>
              </w:rPr>
              <w:t>Olga</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E6" w14:textId="77777777" w:rsidR="00031725" w:rsidRDefault="00000000">
            <w:pPr>
              <w:spacing w:after="0" w:line="240" w:lineRule="auto"/>
              <w:rPr>
                <w:sz w:val="16"/>
                <w:szCs w:val="16"/>
              </w:rPr>
            </w:pPr>
            <w:r>
              <w:rPr>
                <w:sz w:val="16"/>
                <w:szCs w:val="16"/>
              </w:rPr>
              <w:t>Zubova</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E7" w14:textId="77777777" w:rsidR="00031725" w:rsidRDefault="00000000">
            <w:pPr>
              <w:spacing w:after="0" w:line="240" w:lineRule="auto"/>
              <w:rPr>
                <w:sz w:val="16"/>
                <w:szCs w:val="16"/>
              </w:rPr>
            </w:pPr>
            <w:r>
              <w:rPr>
                <w:sz w:val="16"/>
                <w:szCs w:val="16"/>
              </w:rPr>
              <w:t>Independent Consultant</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E8" w14:textId="77777777" w:rsidR="00031725" w:rsidRDefault="00000000">
            <w:pPr>
              <w:spacing w:after="0" w:line="240" w:lineRule="auto"/>
              <w:rPr>
                <w:sz w:val="16"/>
                <w:szCs w:val="16"/>
              </w:rPr>
            </w:pPr>
            <w:r>
              <w:rPr>
                <w:sz w:val="16"/>
                <w:szCs w:val="16"/>
              </w:rPr>
              <w:t>Independent Consultant (Standards and Policy)</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E9" w14:textId="77777777" w:rsidR="00031725" w:rsidRDefault="00000000">
            <w:pPr>
              <w:spacing w:after="0" w:line="240" w:lineRule="auto"/>
              <w:rPr>
                <w:sz w:val="16"/>
                <w:szCs w:val="16"/>
              </w:rPr>
            </w:pPr>
            <w:r>
              <w:rPr>
                <w:sz w:val="16"/>
                <w:szCs w:val="16"/>
              </w:rPr>
              <w:t>Peru</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EA" w14:textId="77777777" w:rsidR="00031725" w:rsidRDefault="00031725">
            <w:pPr>
              <w:spacing w:after="0" w:line="240" w:lineRule="auto"/>
              <w:rPr>
                <w:sz w:val="16"/>
                <w:szCs w:val="16"/>
              </w:rPr>
            </w:pPr>
          </w:p>
        </w:tc>
      </w:tr>
      <w:tr w:rsidR="00031725" w14:paraId="19A174B1" w14:textId="77777777">
        <w:trPr>
          <w:trHeight w:val="315"/>
        </w:trPr>
        <w:tc>
          <w:tcPr>
            <w:tcW w:w="4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EB" w14:textId="77777777" w:rsidR="00031725" w:rsidRDefault="00000000">
            <w:pPr>
              <w:spacing w:after="0" w:line="240" w:lineRule="auto"/>
              <w:jc w:val="center"/>
              <w:rPr>
                <w:sz w:val="16"/>
                <w:szCs w:val="16"/>
              </w:rPr>
            </w:pPr>
            <w:r>
              <w:rPr>
                <w:sz w:val="16"/>
                <w:szCs w:val="16"/>
              </w:rPr>
              <w:t>79</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EC" w14:textId="77777777" w:rsidR="00031725" w:rsidRDefault="00000000">
            <w:pPr>
              <w:spacing w:after="0" w:line="240" w:lineRule="auto"/>
              <w:rPr>
                <w:sz w:val="16"/>
                <w:szCs w:val="16"/>
              </w:rPr>
            </w:pPr>
            <w:r>
              <w:rPr>
                <w:sz w:val="16"/>
                <w:szCs w:val="16"/>
              </w:rPr>
              <w:t>Carlo Maria</w:t>
            </w:r>
          </w:p>
        </w:tc>
        <w:tc>
          <w:tcPr>
            <w:tcW w:w="13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ED" w14:textId="77777777" w:rsidR="00031725" w:rsidRDefault="00000000">
            <w:pPr>
              <w:spacing w:after="0" w:line="240" w:lineRule="auto"/>
              <w:rPr>
                <w:sz w:val="16"/>
                <w:szCs w:val="16"/>
              </w:rPr>
            </w:pPr>
            <w:r>
              <w:rPr>
                <w:sz w:val="16"/>
                <w:szCs w:val="16"/>
              </w:rPr>
              <w:t>Zwölf</w:t>
            </w:r>
          </w:p>
        </w:tc>
        <w:tc>
          <w:tcPr>
            <w:tcW w:w="17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EE" w14:textId="77777777" w:rsidR="00031725" w:rsidRDefault="00000000">
            <w:pPr>
              <w:spacing w:after="0" w:line="240" w:lineRule="auto"/>
              <w:rPr>
                <w:sz w:val="16"/>
                <w:szCs w:val="16"/>
              </w:rPr>
            </w:pPr>
            <w:r>
              <w:rPr>
                <w:sz w:val="16"/>
                <w:szCs w:val="16"/>
              </w:rPr>
              <w:t>Data Infrastructure Director</w:t>
            </w:r>
          </w:p>
        </w:tc>
        <w:tc>
          <w:tcPr>
            <w:tcW w:w="22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EF" w14:textId="77777777" w:rsidR="00031725" w:rsidRDefault="00000000">
            <w:pPr>
              <w:spacing w:after="0" w:line="240" w:lineRule="auto"/>
              <w:rPr>
                <w:sz w:val="16"/>
                <w:szCs w:val="16"/>
              </w:rPr>
            </w:pPr>
            <w:r>
              <w:rPr>
                <w:sz w:val="16"/>
                <w:szCs w:val="16"/>
              </w:rPr>
              <w:t>Laboratory for the Study of the Universe and eXtreme phenomena (LUX), Observatoire de Paris</w:t>
            </w:r>
          </w:p>
        </w:tc>
        <w:tc>
          <w:tcPr>
            <w:tcW w:w="12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F0" w14:textId="77777777" w:rsidR="00031725" w:rsidRDefault="00000000">
            <w:pPr>
              <w:spacing w:after="0" w:line="240" w:lineRule="auto"/>
              <w:rPr>
                <w:sz w:val="16"/>
                <w:szCs w:val="16"/>
              </w:rPr>
            </w:pPr>
            <w:r>
              <w:rPr>
                <w:sz w:val="16"/>
                <w:szCs w:val="16"/>
              </w:rPr>
              <w:t>France</w:t>
            </w:r>
          </w:p>
        </w:tc>
        <w:tc>
          <w:tcPr>
            <w:tcW w:w="10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0007F1" w14:textId="77777777" w:rsidR="00031725" w:rsidRDefault="00031725">
            <w:pPr>
              <w:spacing w:after="0" w:line="240" w:lineRule="auto"/>
              <w:rPr>
                <w:sz w:val="16"/>
                <w:szCs w:val="16"/>
              </w:rPr>
            </w:pPr>
            <w:hyperlink r:id="rId254">
              <w:r>
                <w:rPr>
                  <w:color w:val="1155CC"/>
                  <w:sz w:val="16"/>
                  <w:szCs w:val="16"/>
                  <w:u w:val="single"/>
                </w:rPr>
                <w:t>0000-0002-5762-6747</w:t>
              </w:r>
            </w:hyperlink>
          </w:p>
          <w:p w14:paraId="000007F2" w14:textId="77777777" w:rsidR="00031725" w:rsidRDefault="00031725">
            <w:pPr>
              <w:spacing w:after="0" w:line="240" w:lineRule="auto"/>
              <w:rPr>
                <w:sz w:val="16"/>
                <w:szCs w:val="16"/>
              </w:rPr>
            </w:pPr>
          </w:p>
        </w:tc>
      </w:tr>
    </w:tbl>
    <w:p w14:paraId="000007F3" w14:textId="77777777" w:rsidR="00031725" w:rsidRDefault="00000000">
      <w:pPr>
        <w:pStyle w:val="Heading2"/>
      </w:pPr>
      <w:bookmarkStart w:id="72" w:name="_Toc233654437"/>
      <w:r>
        <w:lastRenderedPageBreak/>
        <w:t>Appendix D: Potential Data Director Blueprint Implementors</w:t>
      </w:r>
      <w:bookmarkEnd w:id="72"/>
    </w:p>
    <w:p w14:paraId="000007F4" w14:textId="77777777" w:rsidR="00031725" w:rsidRDefault="00000000">
      <w:r>
        <w:t>Based on discussions with working group members, there is interest in further developing this draft Blueprint and using it to set up implementations of the tool, or variations of it. Microsoft has also confirmed its intention to adopt the Blueprint within its own commercial context, bringing significant organisational capacity and reach to early implementation efforts.</w:t>
      </w:r>
    </w:p>
    <w:tbl>
      <w:tblPr>
        <w:tblStyle w:val="afa"/>
        <w:tblW w:w="90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10"/>
        <w:gridCol w:w="6705"/>
      </w:tblGrid>
      <w:tr w:rsidR="00031725" w14:paraId="620666EB" w14:textId="77777777">
        <w:trPr>
          <w:trHeight w:val="330"/>
        </w:trPr>
        <w:tc>
          <w:tcPr>
            <w:tcW w:w="2310" w:type="dxa"/>
            <w:tcBorders>
              <w:top w:val="single" w:sz="5" w:space="0" w:color="CCCCCC"/>
              <w:left w:val="single" w:sz="5" w:space="0" w:color="CCCCCC"/>
              <w:bottom w:val="single" w:sz="5" w:space="0" w:color="CCCCCC"/>
              <w:right w:val="single" w:sz="5" w:space="0" w:color="CCCCCC"/>
            </w:tcBorders>
            <w:shd w:val="clear" w:color="auto" w:fill="005B52"/>
            <w:tcMar>
              <w:top w:w="60" w:type="dxa"/>
              <w:left w:w="100" w:type="dxa"/>
              <w:bottom w:w="60" w:type="dxa"/>
              <w:right w:w="100" w:type="dxa"/>
            </w:tcMar>
          </w:tcPr>
          <w:p w14:paraId="000007F5" w14:textId="77777777" w:rsidR="00031725" w:rsidRDefault="00000000">
            <w:pPr>
              <w:spacing w:after="0"/>
              <w:jc w:val="center"/>
              <w:rPr>
                <w:b/>
                <w:bCs/>
                <w:color w:val="FFFFFF"/>
                <w:sz w:val="18"/>
                <w:szCs w:val="18"/>
              </w:rPr>
            </w:pPr>
            <w:r>
              <w:rPr>
                <w:b/>
                <w:bCs/>
                <w:color w:val="FFFFFF"/>
                <w:sz w:val="18"/>
                <w:szCs w:val="18"/>
              </w:rPr>
              <w:t>Name/Affiliation</w:t>
            </w:r>
          </w:p>
        </w:tc>
        <w:tc>
          <w:tcPr>
            <w:tcW w:w="6705" w:type="dxa"/>
            <w:tcBorders>
              <w:top w:val="single" w:sz="5" w:space="0" w:color="CCCCCC"/>
              <w:left w:val="nil"/>
              <w:bottom w:val="single" w:sz="5" w:space="0" w:color="CCCCCC"/>
              <w:right w:val="single" w:sz="5" w:space="0" w:color="CCCCCC"/>
            </w:tcBorders>
            <w:shd w:val="clear" w:color="auto" w:fill="005B52"/>
            <w:tcMar>
              <w:top w:w="60" w:type="dxa"/>
              <w:left w:w="100" w:type="dxa"/>
              <w:bottom w:w="60" w:type="dxa"/>
              <w:right w:w="100" w:type="dxa"/>
            </w:tcMar>
          </w:tcPr>
          <w:p w14:paraId="000007F6" w14:textId="77777777" w:rsidR="00031725" w:rsidRDefault="00000000">
            <w:pPr>
              <w:spacing w:after="0"/>
              <w:jc w:val="center"/>
              <w:rPr>
                <w:b/>
                <w:bCs/>
                <w:color w:val="FFFFFF"/>
                <w:sz w:val="18"/>
                <w:szCs w:val="18"/>
              </w:rPr>
            </w:pPr>
            <w:r>
              <w:rPr>
                <w:b/>
                <w:bCs/>
                <w:color w:val="FFFFFF"/>
                <w:sz w:val="18"/>
                <w:szCs w:val="18"/>
              </w:rPr>
              <w:t>Description</w:t>
            </w:r>
          </w:p>
        </w:tc>
      </w:tr>
      <w:tr w:rsidR="00031725" w14:paraId="2AA71D30" w14:textId="77777777">
        <w:trPr>
          <w:trHeight w:val="1155"/>
        </w:trPr>
        <w:tc>
          <w:tcPr>
            <w:tcW w:w="2310" w:type="dxa"/>
            <w:tcBorders>
              <w:top w:val="nil"/>
              <w:left w:val="single" w:sz="5" w:space="0" w:color="CCCCCC"/>
              <w:bottom w:val="single" w:sz="5" w:space="0" w:color="CCCCCC"/>
              <w:right w:val="single" w:sz="5" w:space="0" w:color="CCCCCC"/>
            </w:tcBorders>
            <w:tcMar>
              <w:top w:w="60" w:type="dxa"/>
              <w:left w:w="100" w:type="dxa"/>
              <w:bottom w:w="60" w:type="dxa"/>
              <w:right w:w="100" w:type="dxa"/>
            </w:tcMar>
          </w:tcPr>
          <w:p w14:paraId="000007F7" w14:textId="77777777" w:rsidR="00031725" w:rsidRDefault="00000000">
            <w:pPr>
              <w:spacing w:after="0" w:line="240" w:lineRule="auto"/>
              <w:rPr>
                <w:sz w:val="18"/>
                <w:szCs w:val="18"/>
              </w:rPr>
            </w:pPr>
            <w:r>
              <w:rPr>
                <w:b/>
                <w:bCs/>
                <w:sz w:val="18"/>
                <w:szCs w:val="18"/>
              </w:rPr>
              <w:t>Paty Buendia</w:t>
            </w:r>
            <w:r>
              <w:rPr>
                <w:b/>
                <w:bCs/>
                <w:sz w:val="18"/>
                <w:szCs w:val="18"/>
              </w:rPr>
              <w:br/>
            </w:r>
            <w:r>
              <w:rPr>
                <w:sz w:val="18"/>
                <w:szCs w:val="18"/>
              </w:rPr>
              <w:t>Lifetime Omics</w:t>
            </w:r>
          </w:p>
        </w:tc>
        <w:tc>
          <w:tcPr>
            <w:tcW w:w="6705" w:type="dxa"/>
            <w:tcBorders>
              <w:top w:val="nil"/>
              <w:left w:val="nil"/>
              <w:bottom w:val="single" w:sz="5" w:space="0" w:color="CCCCCC"/>
              <w:right w:val="single" w:sz="5" w:space="0" w:color="CCCCCC"/>
            </w:tcBorders>
            <w:tcMar>
              <w:top w:w="60" w:type="dxa"/>
              <w:left w:w="100" w:type="dxa"/>
              <w:bottom w:w="60" w:type="dxa"/>
              <w:right w:w="100" w:type="dxa"/>
            </w:tcMar>
          </w:tcPr>
          <w:p w14:paraId="000007F8" w14:textId="77777777" w:rsidR="00031725" w:rsidRDefault="00000000">
            <w:pPr>
              <w:spacing w:after="0" w:line="240" w:lineRule="auto"/>
              <w:rPr>
                <w:sz w:val="18"/>
                <w:szCs w:val="18"/>
                <w:highlight w:val="yellow"/>
              </w:rPr>
            </w:pPr>
            <w:r>
              <w:rPr>
                <w:sz w:val="18"/>
                <w:szCs w:val="18"/>
              </w:rPr>
              <w:t>A separate initiative associated with the EOSC-Future/RDA Artificial Intelligence and Data Visitation (AIDV) Working Group and the related TIGER project DV4RDA is developing software components focused on implementing data visitation policies in practice. This includes a tool called Vantage, with plans to extend to restricted access data. Members of the working group are also discussing potential use of this Blueprint within a new agentic AI working group whose scope of work is currently being developed. They have expressed willingness to collaborate with implementers.</w:t>
            </w:r>
          </w:p>
        </w:tc>
      </w:tr>
      <w:tr w:rsidR="00031725" w14:paraId="68178FC7" w14:textId="77777777">
        <w:trPr>
          <w:trHeight w:val="1155"/>
        </w:trPr>
        <w:tc>
          <w:tcPr>
            <w:tcW w:w="2310" w:type="dxa"/>
            <w:tcBorders>
              <w:top w:val="nil"/>
              <w:left w:val="single" w:sz="5" w:space="0" w:color="CCCCCC"/>
              <w:bottom w:val="single" w:sz="5" w:space="0" w:color="CCCCCC"/>
              <w:right w:val="single" w:sz="5" w:space="0" w:color="CCCCCC"/>
            </w:tcBorders>
            <w:tcMar>
              <w:top w:w="60" w:type="dxa"/>
              <w:left w:w="100" w:type="dxa"/>
              <w:bottom w:w="60" w:type="dxa"/>
              <w:right w:w="100" w:type="dxa"/>
            </w:tcMar>
          </w:tcPr>
          <w:p w14:paraId="000007F9" w14:textId="77777777" w:rsidR="00031725" w:rsidRDefault="00000000">
            <w:pPr>
              <w:spacing w:after="0" w:line="240" w:lineRule="auto"/>
              <w:rPr>
                <w:sz w:val="18"/>
                <w:szCs w:val="18"/>
              </w:rPr>
            </w:pPr>
            <w:r>
              <w:rPr>
                <w:b/>
                <w:bCs/>
                <w:sz w:val="18"/>
                <w:szCs w:val="18"/>
              </w:rPr>
              <w:t>Francis P. Crawley</w:t>
            </w:r>
            <w:r>
              <w:rPr>
                <w:sz w:val="18"/>
                <w:szCs w:val="18"/>
              </w:rPr>
              <w:br/>
              <w:t>EOSC-Future/RDA Artificial Intelligence &amp; Data Visitation Working Group (AIDV); RDA BIDT IG, Human Genome Project II (HGP2); AI4GHR; GCPA; SIDCER</w:t>
            </w:r>
          </w:p>
        </w:tc>
        <w:tc>
          <w:tcPr>
            <w:tcW w:w="6705" w:type="dxa"/>
            <w:tcBorders>
              <w:top w:val="nil"/>
              <w:left w:val="nil"/>
              <w:bottom w:val="single" w:sz="5" w:space="0" w:color="CCCCCC"/>
              <w:right w:val="single" w:sz="5" w:space="0" w:color="CCCCCC"/>
            </w:tcBorders>
            <w:tcMar>
              <w:top w:w="60" w:type="dxa"/>
              <w:left w:w="100" w:type="dxa"/>
              <w:bottom w:w="60" w:type="dxa"/>
              <w:right w:w="100" w:type="dxa"/>
            </w:tcMar>
          </w:tcPr>
          <w:p w14:paraId="000007FA" w14:textId="77777777" w:rsidR="00031725" w:rsidRDefault="00000000">
            <w:pPr>
              <w:spacing w:after="0" w:line="240" w:lineRule="auto"/>
              <w:rPr>
                <w:sz w:val="18"/>
                <w:szCs w:val="18"/>
              </w:rPr>
            </w:pPr>
            <w:r>
              <w:rPr>
                <w:sz w:val="18"/>
                <w:szCs w:val="18"/>
              </w:rPr>
              <w:t>The Data Director Blueprint has been adopted as a reference resource for the Global Ethics and Regulatory Preparedness for Emerging Health Technologies (GERP) initiative. It was implemented as part of the National Conference and Workshop: Towards a Safe, Equitable and Accountable Future of AI-Health Ecosystem in Indonesia, held at the Ministry of Health in Jakarta on 8–9 June 2026. The conference brought together ethics committees, regulators, and national health bodies to develop policy, SOPs, and assessment frameworks across AI and emerging health technologies. GERP will continue to reference the Blueprint in work across other countries, with a particular focus on the Global South.</w:t>
            </w:r>
          </w:p>
        </w:tc>
      </w:tr>
      <w:tr w:rsidR="00031725" w14:paraId="6AF3C139" w14:textId="77777777">
        <w:trPr>
          <w:trHeight w:val="1155"/>
        </w:trPr>
        <w:tc>
          <w:tcPr>
            <w:tcW w:w="2310" w:type="dxa"/>
            <w:tcBorders>
              <w:top w:val="nil"/>
              <w:left w:val="single" w:sz="5" w:space="0" w:color="CCCCCC"/>
              <w:bottom w:val="single" w:sz="5" w:space="0" w:color="CCCCCC"/>
              <w:right w:val="single" w:sz="5" w:space="0" w:color="CCCCCC"/>
            </w:tcBorders>
            <w:tcMar>
              <w:top w:w="60" w:type="dxa"/>
              <w:left w:w="100" w:type="dxa"/>
              <w:bottom w:w="60" w:type="dxa"/>
              <w:right w:w="100" w:type="dxa"/>
            </w:tcMar>
          </w:tcPr>
          <w:p w14:paraId="000007FB" w14:textId="77777777" w:rsidR="00031725" w:rsidRDefault="00000000">
            <w:pPr>
              <w:spacing w:after="0" w:line="240" w:lineRule="auto"/>
              <w:rPr>
                <w:sz w:val="18"/>
                <w:szCs w:val="18"/>
              </w:rPr>
            </w:pPr>
            <w:r>
              <w:rPr>
                <w:b/>
                <w:bCs/>
                <w:sz w:val="18"/>
                <w:szCs w:val="18"/>
              </w:rPr>
              <w:t>Francis P. Crawley</w:t>
            </w:r>
            <w:r>
              <w:rPr>
                <w:sz w:val="18"/>
                <w:szCs w:val="18"/>
              </w:rPr>
              <w:br/>
              <w:t>EOSC-Future/RDA Artificial Intelligence &amp; Data Visitation Working Group (AIDV); GCPA; SIDCER</w:t>
            </w:r>
          </w:p>
        </w:tc>
        <w:tc>
          <w:tcPr>
            <w:tcW w:w="6705" w:type="dxa"/>
            <w:tcBorders>
              <w:top w:val="nil"/>
              <w:left w:val="nil"/>
              <w:bottom w:val="single" w:sz="5" w:space="0" w:color="CCCCCC"/>
              <w:right w:val="single" w:sz="5" w:space="0" w:color="CCCCCC"/>
            </w:tcBorders>
            <w:tcMar>
              <w:top w:w="60" w:type="dxa"/>
              <w:left w:w="100" w:type="dxa"/>
              <w:bottom w:w="60" w:type="dxa"/>
              <w:right w:w="100" w:type="dxa"/>
            </w:tcMar>
          </w:tcPr>
          <w:p w14:paraId="000007FC" w14:textId="77777777" w:rsidR="00031725" w:rsidRDefault="00000000">
            <w:pPr>
              <w:spacing w:after="0" w:line="240" w:lineRule="auto"/>
              <w:rPr>
                <w:sz w:val="18"/>
                <w:szCs w:val="18"/>
              </w:rPr>
            </w:pPr>
            <w:r>
              <w:rPr>
                <w:sz w:val="18"/>
                <w:szCs w:val="18"/>
              </w:rPr>
              <w:t>Members of the EOSC-Future/RDA AIDV Working Group are discussing potential use of this Blueprint within a new agentic AI working group whose Statement of Work is currently being developed. They have expressed willingness to collaborate with implementers.</w:t>
            </w:r>
          </w:p>
        </w:tc>
      </w:tr>
      <w:tr w:rsidR="00031725" w14:paraId="2448922F" w14:textId="77777777">
        <w:trPr>
          <w:trHeight w:val="1155"/>
        </w:trPr>
        <w:tc>
          <w:tcPr>
            <w:tcW w:w="231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tcPr>
          <w:p w14:paraId="000007FD" w14:textId="77777777" w:rsidR="00031725" w:rsidRDefault="00000000">
            <w:pPr>
              <w:spacing w:after="0" w:line="240" w:lineRule="auto"/>
              <w:rPr>
                <w:sz w:val="18"/>
                <w:szCs w:val="18"/>
              </w:rPr>
            </w:pPr>
            <w:r>
              <w:rPr>
                <w:b/>
                <w:bCs/>
                <w:sz w:val="18"/>
                <w:szCs w:val="18"/>
              </w:rPr>
              <w:t>Joe Heffer</w:t>
            </w:r>
            <w:r>
              <w:rPr>
                <w:sz w:val="18"/>
                <w:szCs w:val="18"/>
              </w:rPr>
              <w:br/>
              <w:t xml:space="preserve">University of Sheffield </w:t>
            </w:r>
          </w:p>
          <w:p w14:paraId="000007FE" w14:textId="77777777" w:rsidR="00031725" w:rsidRDefault="00000000">
            <w:pPr>
              <w:spacing w:after="0" w:line="240" w:lineRule="auto"/>
              <w:rPr>
                <w:b/>
                <w:bCs/>
                <w:sz w:val="18"/>
                <w:szCs w:val="18"/>
              </w:rPr>
            </w:pPr>
            <w:r>
              <w:rPr>
                <w:sz w:val="18"/>
                <w:szCs w:val="18"/>
              </w:rPr>
              <w:br/>
            </w:r>
            <w:r>
              <w:rPr>
                <w:b/>
                <w:bCs/>
                <w:sz w:val="18"/>
                <w:szCs w:val="18"/>
              </w:rPr>
              <w:t xml:space="preserve">Monica Palmero </w:t>
            </w:r>
          </w:p>
          <w:p w14:paraId="000007FF" w14:textId="77777777" w:rsidR="00031725" w:rsidRDefault="00000000">
            <w:pPr>
              <w:spacing w:after="0" w:line="240" w:lineRule="auto"/>
              <w:rPr>
                <w:sz w:val="18"/>
                <w:szCs w:val="18"/>
              </w:rPr>
            </w:pPr>
            <w:r>
              <w:rPr>
                <w:b/>
                <w:bCs/>
                <w:sz w:val="18"/>
                <w:szCs w:val="18"/>
              </w:rPr>
              <w:t>Fernandez</w:t>
            </w:r>
            <w:r>
              <w:rPr>
                <w:sz w:val="18"/>
                <w:szCs w:val="18"/>
              </w:rPr>
              <w:br/>
              <w:t>University of Oxford</w:t>
            </w:r>
          </w:p>
        </w:tc>
        <w:tc>
          <w:tcPr>
            <w:tcW w:w="6705" w:type="dxa"/>
            <w:tcBorders>
              <w:top w:val="nil"/>
              <w:left w:val="nil"/>
              <w:bottom w:val="single" w:sz="5" w:space="0" w:color="CCCCCC"/>
              <w:right w:val="single" w:sz="5" w:space="0" w:color="CCCCCC"/>
            </w:tcBorders>
            <w:tcMar>
              <w:top w:w="60" w:type="dxa"/>
              <w:left w:w="100" w:type="dxa"/>
              <w:bottom w:w="60" w:type="dxa"/>
              <w:right w:w="100" w:type="dxa"/>
            </w:tcMar>
          </w:tcPr>
          <w:p w14:paraId="00000800" w14:textId="77777777" w:rsidR="00031725" w:rsidRDefault="00000000">
            <w:pPr>
              <w:spacing w:after="0" w:line="240" w:lineRule="auto"/>
              <w:rPr>
                <w:sz w:val="18"/>
                <w:szCs w:val="18"/>
              </w:rPr>
            </w:pPr>
            <w:r>
              <w:rPr>
                <w:sz w:val="18"/>
                <w:szCs w:val="18"/>
              </w:rPr>
              <w:t>Two UK-based universities, Sheffield and Oxford, have expressed interest in exploring implementation of the Data Director. Both have indicated that collaboration between institutions could be beneficial. While no formal implementation plan has yet been established, they have indicated willingness to engage further with the Blueprint community.</w:t>
            </w:r>
          </w:p>
        </w:tc>
      </w:tr>
      <w:tr w:rsidR="00031725" w14:paraId="5EED5364" w14:textId="77777777">
        <w:trPr>
          <w:trHeight w:val="1155"/>
        </w:trPr>
        <w:tc>
          <w:tcPr>
            <w:tcW w:w="231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tcPr>
          <w:p w14:paraId="00000801" w14:textId="77777777" w:rsidR="00031725" w:rsidRDefault="00000000">
            <w:pPr>
              <w:spacing w:after="0" w:line="240" w:lineRule="auto"/>
              <w:rPr>
                <w:sz w:val="18"/>
                <w:szCs w:val="18"/>
              </w:rPr>
            </w:pPr>
            <w:r>
              <w:rPr>
                <w:b/>
                <w:bCs/>
                <w:sz w:val="18"/>
                <w:szCs w:val="18"/>
              </w:rPr>
              <w:t>Marco Rorro</w:t>
            </w:r>
          </w:p>
          <w:p w14:paraId="00000802" w14:textId="77777777" w:rsidR="00031725" w:rsidRDefault="00000000">
            <w:pPr>
              <w:spacing w:after="0" w:line="240" w:lineRule="auto"/>
              <w:rPr>
                <w:sz w:val="18"/>
                <w:szCs w:val="18"/>
              </w:rPr>
            </w:pPr>
            <w:r>
              <w:rPr>
                <w:sz w:val="18"/>
                <w:szCs w:val="18"/>
              </w:rPr>
              <w:t>EGI Foundation</w:t>
            </w:r>
          </w:p>
        </w:tc>
        <w:tc>
          <w:tcPr>
            <w:tcW w:w="6705" w:type="dxa"/>
            <w:tcBorders>
              <w:top w:val="nil"/>
              <w:left w:val="nil"/>
              <w:bottom w:val="single" w:sz="5" w:space="0" w:color="CCCCCC"/>
              <w:right w:val="single" w:sz="5" w:space="0" w:color="CCCCCC"/>
            </w:tcBorders>
            <w:tcMar>
              <w:top w:w="60" w:type="dxa"/>
              <w:left w:w="100" w:type="dxa"/>
              <w:bottom w:w="60" w:type="dxa"/>
              <w:right w:w="100" w:type="dxa"/>
            </w:tcMar>
          </w:tcPr>
          <w:p w14:paraId="00000803" w14:textId="77777777" w:rsidR="00031725" w:rsidRDefault="00000000">
            <w:pPr>
              <w:spacing w:after="0" w:line="240" w:lineRule="auto"/>
              <w:rPr>
                <w:sz w:val="18"/>
                <w:szCs w:val="18"/>
              </w:rPr>
            </w:pPr>
            <w:r>
              <w:rPr>
                <w:sz w:val="18"/>
                <w:szCs w:val="18"/>
              </w:rPr>
              <w:t xml:space="preserve">The EGI Foundation and its federated members provide </w:t>
            </w:r>
            <w:hyperlink r:id="rId255">
              <w:r w:rsidR="00031725">
                <w:rPr>
                  <w:color w:val="1155CC"/>
                  <w:sz w:val="18"/>
                  <w:szCs w:val="18"/>
                  <w:u w:val="single"/>
                </w:rPr>
                <w:t>research services</w:t>
              </w:r>
            </w:hyperlink>
            <w:r>
              <w:rPr>
                <w:sz w:val="18"/>
                <w:szCs w:val="18"/>
                <w:vertAlign w:val="superscript"/>
              </w:rPr>
              <w:footnoteReference w:id="68"/>
            </w:r>
            <w:r>
              <w:rPr>
                <w:sz w:val="18"/>
                <w:szCs w:val="18"/>
              </w:rPr>
              <w:t xml:space="preserve"> that could serve as components for implementing the Data Director, including identity and secret management infrastructure. A federated large language model inference service is also expected to become available in the near term, which could provide the model runtime required for deployment.</w:t>
            </w:r>
          </w:p>
        </w:tc>
      </w:tr>
      <w:tr w:rsidR="00031725" w14:paraId="51A51A3D" w14:textId="77777777" w:rsidTr="00ED1E3F">
        <w:trPr>
          <w:trHeight w:val="457"/>
        </w:trPr>
        <w:tc>
          <w:tcPr>
            <w:tcW w:w="2310" w:type="dxa"/>
            <w:tcBorders>
              <w:top w:val="nil"/>
              <w:left w:val="single" w:sz="5" w:space="0" w:color="CCCCCC"/>
              <w:bottom w:val="single" w:sz="5" w:space="0" w:color="CCCCCC"/>
              <w:right w:val="single" w:sz="5" w:space="0" w:color="CCCCCC"/>
            </w:tcBorders>
            <w:tcMar>
              <w:top w:w="60" w:type="dxa"/>
              <w:left w:w="100" w:type="dxa"/>
              <w:bottom w:w="60" w:type="dxa"/>
              <w:right w:w="100" w:type="dxa"/>
            </w:tcMar>
          </w:tcPr>
          <w:p w14:paraId="00000804" w14:textId="77777777" w:rsidR="00031725" w:rsidRDefault="00000000">
            <w:pPr>
              <w:spacing w:after="0" w:line="240" w:lineRule="auto"/>
              <w:rPr>
                <w:sz w:val="18"/>
                <w:szCs w:val="18"/>
              </w:rPr>
            </w:pPr>
            <w:r>
              <w:rPr>
                <w:b/>
                <w:bCs/>
                <w:sz w:val="18"/>
                <w:szCs w:val="18"/>
              </w:rPr>
              <w:t>Slava Tykhonov</w:t>
            </w:r>
            <w:r>
              <w:rPr>
                <w:sz w:val="18"/>
                <w:szCs w:val="18"/>
              </w:rPr>
              <w:br/>
              <w:t>CODATA</w:t>
            </w:r>
          </w:p>
        </w:tc>
        <w:tc>
          <w:tcPr>
            <w:tcW w:w="6705" w:type="dxa"/>
            <w:tcBorders>
              <w:top w:val="nil"/>
              <w:left w:val="nil"/>
              <w:bottom w:val="single" w:sz="5" w:space="0" w:color="CCCCCC"/>
              <w:right w:val="single" w:sz="5" w:space="0" w:color="CCCCCC"/>
            </w:tcBorders>
            <w:tcMar>
              <w:top w:w="60" w:type="dxa"/>
              <w:left w:w="100" w:type="dxa"/>
              <w:bottom w:w="60" w:type="dxa"/>
              <w:right w:w="100" w:type="dxa"/>
            </w:tcMar>
          </w:tcPr>
          <w:p w14:paraId="00000807" w14:textId="794D029B" w:rsidR="00031725" w:rsidRDefault="001C265D">
            <w:pPr>
              <w:spacing w:after="0" w:line="240" w:lineRule="auto"/>
              <w:rPr>
                <w:sz w:val="18"/>
                <w:szCs w:val="18"/>
              </w:rPr>
            </w:pPr>
            <w:r>
              <w:rPr>
                <w:sz w:val="18"/>
                <w:szCs w:val="18"/>
              </w:rPr>
              <w:t>A member of the Data Director Agentic AI Tool Blueprint Working Group is w</w:t>
            </w:r>
            <w:r w:rsidR="00DB6EAA">
              <w:rPr>
                <w:sz w:val="18"/>
                <w:szCs w:val="18"/>
              </w:rPr>
              <w:t xml:space="preserve">orking </w:t>
            </w:r>
            <w:r>
              <w:rPr>
                <w:sz w:val="18"/>
                <w:szCs w:val="18"/>
              </w:rPr>
              <w:t>on data management planning tools and have indicated they do not plan to implement the Data Director in full but have existing components that align with its requirements. These include an ODRL-based implementation addressing capability C12 and Croissant support addressing R2 and R4. They have expressed willingness to share these components and collaborate with other implementers.</w:t>
            </w:r>
          </w:p>
        </w:tc>
      </w:tr>
      <w:tr w:rsidR="00031725" w14:paraId="45EC7A1D" w14:textId="77777777">
        <w:trPr>
          <w:trHeight w:val="1155"/>
        </w:trPr>
        <w:tc>
          <w:tcPr>
            <w:tcW w:w="2310" w:type="dxa"/>
            <w:tcBorders>
              <w:top w:val="nil"/>
              <w:left w:val="single" w:sz="5" w:space="0" w:color="CCCCCC"/>
              <w:bottom w:val="single" w:sz="5" w:space="0" w:color="CCCCCC"/>
              <w:right w:val="single" w:sz="5" w:space="0" w:color="CCCCCC"/>
            </w:tcBorders>
            <w:tcMar>
              <w:top w:w="60" w:type="dxa"/>
              <w:left w:w="100" w:type="dxa"/>
              <w:bottom w:w="60" w:type="dxa"/>
              <w:right w:w="100" w:type="dxa"/>
            </w:tcMar>
          </w:tcPr>
          <w:p w14:paraId="00000808" w14:textId="77777777" w:rsidR="00031725" w:rsidRDefault="00000000">
            <w:pPr>
              <w:spacing w:after="0"/>
              <w:rPr>
                <w:b/>
                <w:bCs/>
                <w:sz w:val="18"/>
                <w:szCs w:val="18"/>
              </w:rPr>
            </w:pPr>
            <w:r>
              <w:rPr>
                <w:b/>
                <w:bCs/>
                <w:sz w:val="18"/>
                <w:szCs w:val="18"/>
              </w:rPr>
              <w:lastRenderedPageBreak/>
              <w:t>Raymond Uzwyshyn</w:t>
            </w:r>
          </w:p>
          <w:p w14:paraId="00000809" w14:textId="77777777" w:rsidR="00031725" w:rsidRDefault="00000000">
            <w:pPr>
              <w:spacing w:after="0"/>
              <w:rPr>
                <w:sz w:val="18"/>
                <w:szCs w:val="18"/>
              </w:rPr>
            </w:pPr>
            <w:r>
              <w:rPr>
                <w:sz w:val="18"/>
                <w:szCs w:val="18"/>
              </w:rPr>
              <w:t>University of California</w:t>
            </w:r>
          </w:p>
        </w:tc>
        <w:tc>
          <w:tcPr>
            <w:tcW w:w="6705" w:type="dxa"/>
            <w:tcBorders>
              <w:top w:val="nil"/>
              <w:left w:val="nil"/>
              <w:bottom w:val="single" w:sz="5" w:space="0" w:color="CCCCCC"/>
              <w:right w:val="single" w:sz="5" w:space="0" w:color="CCCCCC"/>
            </w:tcBorders>
            <w:tcMar>
              <w:top w:w="60" w:type="dxa"/>
              <w:left w:w="100" w:type="dxa"/>
              <w:bottom w:w="60" w:type="dxa"/>
              <w:right w:w="100" w:type="dxa"/>
            </w:tcMar>
          </w:tcPr>
          <w:p w14:paraId="0000080A" w14:textId="18C7BA04" w:rsidR="00031725" w:rsidRDefault="00000000">
            <w:pPr>
              <w:spacing w:after="0" w:line="240" w:lineRule="auto"/>
              <w:rPr>
                <w:sz w:val="18"/>
                <w:szCs w:val="18"/>
              </w:rPr>
            </w:pPr>
            <w:r>
              <w:rPr>
                <w:sz w:val="18"/>
                <w:szCs w:val="18"/>
              </w:rPr>
              <w:t>A member of the Data Director Agentic AI Tool Blue</w:t>
            </w:r>
            <w:r w:rsidR="00D60B9D">
              <w:rPr>
                <w:sz w:val="18"/>
                <w:szCs w:val="18"/>
              </w:rPr>
              <w:t xml:space="preserve">print </w:t>
            </w:r>
            <w:r>
              <w:rPr>
                <w:sz w:val="18"/>
                <w:szCs w:val="18"/>
              </w:rPr>
              <w:t>Working Group is developing a prototype that takes a persona-based approach as a complement to the capabilities-based model set out in this Blueprint. The prototype draws on the working group's outputs while adopting a different structural approach. Feedback from the wider community is being sought over the coming months and the developer has indicated willingness to collaborate with implementers.</w:t>
            </w:r>
          </w:p>
        </w:tc>
      </w:tr>
      <w:tr w:rsidR="00031725" w14:paraId="1C159037" w14:textId="77777777">
        <w:trPr>
          <w:trHeight w:val="945"/>
        </w:trPr>
        <w:tc>
          <w:tcPr>
            <w:tcW w:w="231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tcPr>
          <w:p w14:paraId="0000080B" w14:textId="77777777" w:rsidR="00031725" w:rsidRDefault="00000000">
            <w:pPr>
              <w:spacing w:after="0" w:line="240" w:lineRule="auto"/>
              <w:rPr>
                <w:sz w:val="18"/>
                <w:szCs w:val="18"/>
              </w:rPr>
            </w:pPr>
            <w:r>
              <w:rPr>
                <w:b/>
                <w:bCs/>
                <w:sz w:val="18"/>
                <w:szCs w:val="18"/>
              </w:rPr>
              <w:t>Carlo Maria Zwölf</w:t>
            </w:r>
          </w:p>
          <w:p w14:paraId="0000080C" w14:textId="77777777" w:rsidR="00031725" w:rsidRDefault="00000000">
            <w:pPr>
              <w:spacing w:after="0" w:line="240" w:lineRule="auto"/>
              <w:rPr>
                <w:sz w:val="18"/>
                <w:szCs w:val="18"/>
              </w:rPr>
            </w:pPr>
            <w:r>
              <w:rPr>
                <w:sz w:val="18"/>
                <w:szCs w:val="18"/>
              </w:rPr>
              <w:t>LUX Observatoire de Paris</w:t>
            </w:r>
          </w:p>
        </w:tc>
        <w:tc>
          <w:tcPr>
            <w:tcW w:w="6705" w:type="dxa"/>
            <w:tcBorders>
              <w:top w:val="nil"/>
              <w:left w:val="nil"/>
              <w:bottom w:val="single" w:sz="5" w:space="0" w:color="CCCCCC"/>
              <w:right w:val="single" w:sz="5" w:space="0" w:color="CCCCCC"/>
            </w:tcBorders>
            <w:tcMar>
              <w:top w:w="60" w:type="dxa"/>
              <w:left w:w="100" w:type="dxa"/>
              <w:bottom w:w="60" w:type="dxa"/>
              <w:right w:w="100" w:type="dxa"/>
            </w:tcMar>
          </w:tcPr>
          <w:p w14:paraId="0000080D" w14:textId="77777777" w:rsidR="00031725" w:rsidRDefault="00000000">
            <w:pPr>
              <w:spacing w:after="0" w:line="240" w:lineRule="auto"/>
              <w:rPr>
                <w:sz w:val="18"/>
                <w:szCs w:val="18"/>
              </w:rPr>
            </w:pPr>
            <w:r>
              <w:rPr>
                <w:sz w:val="18"/>
                <w:szCs w:val="18"/>
              </w:rPr>
              <w:t>A suggestion has been raised to use the Blueprint specification itself as an informal test of its clarity and completeness, by providing it to a coding agent to assess whether it is sufficiently detailed to support AI-assisted implementation. This experiment has not yet been carried out but offers a practical means of evaluating the specification's rigour and identifying gaps ahead of broader implementation.</w:t>
            </w:r>
          </w:p>
        </w:tc>
      </w:tr>
    </w:tbl>
    <w:p w14:paraId="0000080E" w14:textId="77777777" w:rsidR="00031725" w:rsidRDefault="00000000">
      <w:pPr>
        <w:pStyle w:val="Heading2"/>
      </w:pPr>
      <w:bookmarkStart w:id="73" w:name="_Toc233654438"/>
      <w:r>
        <w:t>Appendix E: Tool Usage</w:t>
      </w:r>
      <w:bookmarkEnd w:id="73"/>
    </w:p>
    <w:p w14:paraId="0000080F" w14:textId="4D7BFE2A" w:rsidR="00031725" w:rsidRDefault="00000000">
      <w:pPr>
        <w:spacing w:before="240" w:after="240"/>
      </w:pPr>
      <w:r>
        <w:t xml:space="preserve">Working Group sessions were facilitated using </w:t>
      </w:r>
      <w:hyperlink r:id="rId256">
        <w:r w:rsidR="00031725">
          <w:rPr>
            <w:color w:val="1155CC"/>
            <w:u w:val="single"/>
          </w:rPr>
          <w:t>Zoom</w:t>
        </w:r>
      </w:hyperlink>
      <w:r>
        <w:t>,</w:t>
      </w:r>
      <w:r>
        <w:rPr>
          <w:vertAlign w:val="superscript"/>
        </w:rPr>
        <w:footnoteReference w:id="69"/>
      </w:r>
      <w:r>
        <w:t xml:space="preserve"> with collaborative notes taken in </w:t>
      </w:r>
      <w:hyperlink r:id="rId257">
        <w:r w:rsidR="00031725">
          <w:rPr>
            <w:color w:val="1155CC"/>
            <w:u w:val="single"/>
          </w:rPr>
          <w:t>Google Docs</w:t>
        </w:r>
      </w:hyperlink>
      <w:r>
        <w:t>.</w:t>
      </w:r>
      <w:r>
        <w:rPr>
          <w:vertAlign w:val="superscript"/>
        </w:rPr>
        <w:footnoteReference w:id="70"/>
      </w:r>
      <w:r>
        <w:t xml:space="preserve"> </w:t>
      </w:r>
      <w:hyperlink r:id="rId258">
        <w:r w:rsidR="00031725">
          <w:rPr>
            <w:color w:val="1155CC"/>
            <w:u w:val="single"/>
          </w:rPr>
          <w:t>Draw.io</w:t>
        </w:r>
      </w:hyperlink>
      <w:r>
        <w:rPr>
          <w:vertAlign w:val="superscript"/>
        </w:rPr>
        <w:footnoteReference w:id="71"/>
      </w:r>
      <w:r>
        <w:t xml:space="preserve"> and </w:t>
      </w:r>
      <w:hyperlink r:id="rId259">
        <w:r w:rsidR="00031725">
          <w:rPr>
            <w:color w:val="1155CC"/>
            <w:u w:val="single"/>
          </w:rPr>
          <w:t>Miro</w:t>
        </w:r>
      </w:hyperlink>
      <w:r>
        <w:rPr>
          <w:vertAlign w:val="superscript"/>
        </w:rPr>
        <w:footnoteReference w:id="72"/>
      </w:r>
      <w:r>
        <w:t xml:space="preserve"> were used for collaborative working and generating process flow and Blueprint architecture diagrams. Final process flow images were generated using </w:t>
      </w:r>
      <w:hyperlink r:id="rId260">
        <w:r w:rsidR="00031725">
          <w:rPr>
            <w:color w:val="1155CC"/>
            <w:u w:val="single"/>
          </w:rPr>
          <w:t>Claude.ai</w:t>
        </w:r>
      </w:hyperlink>
      <w:r w:rsidR="00D60B9D">
        <w:t>.</w:t>
      </w:r>
      <w:r>
        <w:rPr>
          <w:vertAlign w:val="superscript"/>
        </w:rPr>
        <w:footnoteReference w:id="73"/>
      </w:r>
      <w:r>
        <w:t xml:space="preserve"> </w:t>
      </w:r>
    </w:p>
    <w:p w14:paraId="00000810" w14:textId="5FD971C2" w:rsidR="00031725" w:rsidRDefault="00000000">
      <w:pPr>
        <w:spacing w:before="240" w:after="240"/>
      </w:pPr>
      <w:r>
        <w:t xml:space="preserve">In line with the </w:t>
      </w:r>
      <w:hyperlink r:id="rId261">
        <w:r w:rsidR="00031725">
          <w:rPr>
            <w:color w:val="1155CC"/>
            <w:u w:val="single"/>
          </w:rPr>
          <w:t>RDA's Guidance on AI Tools Usage</w:t>
        </w:r>
      </w:hyperlink>
      <w:r>
        <w:t>,</w:t>
      </w:r>
      <w:r>
        <w:rPr>
          <w:vertAlign w:val="superscript"/>
        </w:rPr>
        <w:footnoteReference w:id="74"/>
      </w:r>
      <w:r>
        <w:t xml:space="preserve"> Claude Sonnet 4.5 (Pro) was used for data analysis and writing assistance throughout this Blueprint. The model was configured to ensure that input and output data </w:t>
      </w:r>
      <w:r w:rsidR="00D60B9D">
        <w:t>are</w:t>
      </w:r>
      <w:r>
        <w:t xml:space="preserve"> not used for model training. All AI-assisted analysis and AI-generated text ha</w:t>
      </w:r>
      <w:r w:rsidR="00D60B9D">
        <w:t>ve</w:t>
      </w:r>
      <w:r>
        <w:t xml:space="preserve"> been reviewed, validated, and edited by the authors and working group members to ensure accuracy and completeness.</w:t>
      </w:r>
    </w:p>
    <w:p w14:paraId="00000811" w14:textId="77777777" w:rsidR="00031725" w:rsidRDefault="00000000">
      <w:pPr>
        <w:pStyle w:val="Heading2"/>
        <w:spacing w:before="240" w:after="240"/>
      </w:pPr>
      <w:bookmarkStart w:id="74" w:name="_Toc233654439"/>
      <w:r>
        <w:t>Appendix F: Partners and Document Information</w:t>
      </w:r>
      <w:bookmarkEnd w:id="74"/>
    </w:p>
    <w:p w14:paraId="00000812" w14:textId="1C8F8E3D" w:rsidR="00031725" w:rsidRDefault="00000000">
      <w:r>
        <w:t>This Blueprint is a collaborative effort between the Research Data Alliance and Microsoft, with contributions from participants of both organisations who did not receive any compensation for their involvement. The content generated from Working Group sessions ha</w:t>
      </w:r>
      <w:r w:rsidR="009B4BB4">
        <w:t>s</w:t>
      </w:r>
      <w:r>
        <w:t xml:space="preserve"> been revised from collaborative notes, transcripts and video recordings. </w:t>
      </w:r>
    </w:p>
    <w:p w14:paraId="00000813" w14:textId="77777777" w:rsidR="00031725" w:rsidRDefault="00000000">
      <w:pPr>
        <w:pStyle w:val="Heading3"/>
      </w:pPr>
      <w:bookmarkStart w:id="75" w:name="_Toc233654440"/>
      <w:r>
        <w:t>About the RDA</w:t>
      </w:r>
      <w:bookmarkEnd w:id="75"/>
    </w:p>
    <w:p w14:paraId="00000814" w14:textId="77777777" w:rsidR="00031725" w:rsidRDefault="00000000">
      <w:r>
        <w:t xml:space="preserve">The </w:t>
      </w:r>
      <w:hyperlink r:id="rId262">
        <w:r w:rsidR="00031725">
          <w:rPr>
            <w:color w:val="1155CC"/>
            <w:u w:val="single"/>
          </w:rPr>
          <w:t>Research Data Alliance (RDA)</w:t>
        </w:r>
      </w:hyperlink>
      <w:r>
        <w:t xml:space="preserve"> was launched as a community-driven initiative in 2013 with the vision that researchers and innovators can openly share and re-use data across technologies, disciplines, and countries to address the grand challenges of society. The RDA’s mission is to build the social and technical bridges that enable that vision, accomplished </w:t>
      </w:r>
      <w:r>
        <w:lastRenderedPageBreak/>
        <w:t>through the creation, adoption and use of the social, organisational, and technical infrastructure needed to reduce barriers to data sharing and exchange.</w:t>
      </w:r>
    </w:p>
    <w:p w14:paraId="00000815" w14:textId="58FB3571" w:rsidR="00031725" w:rsidRDefault="00000000">
      <w:r>
        <w:t xml:space="preserve">As of June 2026, the RDA comprises a 16,700+ member-strong community of researchers, data professionals, publishers, funders and policymakers that collaborate in working groups, interest groups and communities of practice to create recommendations and outputs. </w:t>
      </w:r>
      <w:hyperlink r:id="rId263">
        <w:r w:rsidR="00031725">
          <w:rPr>
            <w:color w:val="1155CC"/>
            <w:u w:val="single"/>
          </w:rPr>
          <w:t>Individual membership</w:t>
        </w:r>
      </w:hyperlink>
      <w:r>
        <w:rPr>
          <w:vertAlign w:val="superscript"/>
        </w:rPr>
        <w:footnoteReference w:id="75"/>
      </w:r>
      <w:r>
        <w:t xml:space="preserve"> is free of charge and open to all who share the RDA’s Guiding Principles. To get involved at the organisational level, explore our </w:t>
      </w:r>
      <w:hyperlink r:id="rId264">
        <w:r w:rsidR="00031725">
          <w:rPr>
            <w:color w:val="1155CC"/>
            <w:u w:val="single"/>
          </w:rPr>
          <w:t>organisational and affiliate membership options</w:t>
        </w:r>
      </w:hyperlink>
      <w:r>
        <w:t>.</w:t>
      </w:r>
      <w:r>
        <w:rPr>
          <w:vertAlign w:val="superscript"/>
        </w:rPr>
        <w:footnoteReference w:id="76"/>
      </w:r>
    </w:p>
    <w:p w14:paraId="00000816" w14:textId="77777777" w:rsidR="00031725" w:rsidRDefault="00000000">
      <w:pPr>
        <w:pStyle w:val="Heading3"/>
      </w:pPr>
      <w:bookmarkStart w:id="76" w:name="_Toc233654441"/>
      <w:r>
        <w:t>About Microsoft</w:t>
      </w:r>
      <w:bookmarkEnd w:id="76"/>
      <w:r>
        <w:t xml:space="preserve"> </w:t>
      </w:r>
    </w:p>
    <w:p w14:paraId="00000817" w14:textId="77777777" w:rsidR="00031725" w:rsidRDefault="00031725">
      <w:hyperlink r:id="rId265">
        <w:r>
          <w:rPr>
            <w:color w:val="1155CC"/>
            <w:u w:val="single"/>
          </w:rPr>
          <w:t>Microsoft Corporation</w:t>
        </w:r>
      </w:hyperlink>
      <w:r>
        <w:rPr>
          <w:vertAlign w:val="superscript"/>
        </w:rPr>
        <w:footnoteReference w:id="77"/>
      </w:r>
      <w:r>
        <w:t xml:space="preserve"> is a multinational American technology company recognised for shaping the evolution of personal and enterprise computing. Founded in 1975 and headquartered in Redmond, Washington, the company initially revolutionised software accessibility through its early operating systems. Over the decades, Microsoft expanded its portfolio to encompass a broad spectrum of technologies, including productivity, software, cloud infrastructure, gaming, Artificial Intelligence and Quantum Computing. With a longstanding emphasis on innovation and digital transformation, Microsoft continues to play a pivotal role in defining the future of the tech industry.</w:t>
      </w:r>
    </w:p>
    <w:p w14:paraId="00000818" w14:textId="77777777" w:rsidR="00031725" w:rsidRDefault="00000000">
      <w:pPr>
        <w:pStyle w:val="Heading3"/>
      </w:pPr>
      <w:bookmarkStart w:id="77" w:name="_Toc233654442"/>
      <w:r>
        <w:t>Licence and Contact</w:t>
      </w:r>
      <w:bookmarkEnd w:id="77"/>
      <w:r>
        <w:t xml:space="preserve"> </w:t>
      </w:r>
    </w:p>
    <w:p w14:paraId="00000819" w14:textId="77777777" w:rsidR="00031725" w:rsidRDefault="00000000">
      <w:r>
        <w:rPr>
          <w:b/>
          <w:bCs/>
        </w:rPr>
        <w:t xml:space="preserve">Licensing: </w:t>
      </w:r>
      <w:r>
        <w:t xml:space="preserve">All materials are licensed under Creative Commons Attribution 4.0 International (CC BY 4.0), allowing reuse with appropriate citation of this report. </w:t>
      </w:r>
      <w:r>
        <w:br/>
      </w:r>
      <w:r>
        <w:br/>
      </w:r>
      <w:r>
        <w:rPr>
          <w:b/>
          <w:bCs/>
        </w:rPr>
        <w:t xml:space="preserve">Contact: </w:t>
      </w:r>
      <w:r>
        <w:t>For questions about this Blueprint, the RDA Working Group and facilitation programme, please contact the RDA Secretariat at [</w:t>
      </w:r>
      <w:hyperlink r:id="rId266">
        <w:r w:rsidR="00031725">
          <w:rPr>
            <w:color w:val="1155CC"/>
            <w:u w:val="single"/>
          </w:rPr>
          <w:t>secretariat@rda-foundation.org</w:t>
        </w:r>
      </w:hyperlink>
      <w:r>
        <w:t xml:space="preserve">]. </w:t>
      </w:r>
    </w:p>
    <w:p w14:paraId="0000081A" w14:textId="77777777" w:rsidR="00031725" w:rsidRDefault="00031725"/>
    <w:sectPr w:rsidR="00031725">
      <w:pgSz w:w="11906" w:h="16838"/>
      <w:pgMar w:top="1260" w:right="1260" w:bottom="1260" w:left="1440" w:header="566" w:footer="566"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comment w:id="27" w:author="Connie Clare" w:date="2026-06-22T14:35:00Z" w:initials="">
    <w:p w14:paraId="00000871" w14:textId="77777777" w:rsidR="00031725" w:rsidRDefault="009B2360">
      <w:pPr>
        <w:widowControl w:val="0"/>
        <w:pBdr>
          <w:top w:val="nil"/>
          <w:left w:val="nil"/>
          <w:bottom w:val="nil"/>
          <w:right w:val="nil"/>
          <w:between w:val="nil"/>
        </w:pBdr>
        <w:spacing w:after="0" w:line="240" w:lineRule="auto"/>
        <w:rPr>
          <w:color w:val="000000"/>
        </w:rPr>
      </w:pPr>
      <w:r>
        <w:rPr>
          <w:rStyle w:val="CommentReference"/>
        </w:rPr>
        <w:annotationRef/>
      </w:r>
      <w:r>
        <w:rPr>
          <w:color w:val="000000"/>
        </w:rPr>
        <w:t>Link is temporarily unavailable</w:t>
      </w:r>
    </w:p>
  </w:comment>
  <w:comment w:id="32" w:author="Connie Clare" w:date="2026-06-12T11:04:00Z" w:initials="">
    <w:p w14:paraId="00000870" w14:textId="77777777" w:rsidR="00031725" w:rsidRDefault="009B2360">
      <w:pPr>
        <w:widowControl w:val="0"/>
        <w:pBdr>
          <w:top w:val="nil"/>
          <w:left w:val="nil"/>
          <w:bottom w:val="nil"/>
          <w:right w:val="nil"/>
          <w:between w:val="nil"/>
        </w:pBdr>
        <w:spacing w:after="0" w:line="240" w:lineRule="auto"/>
        <w:rPr>
          <w:color w:val="000000"/>
        </w:rPr>
      </w:pPr>
      <w:r>
        <w:rPr>
          <w:rStyle w:val="CommentReference"/>
        </w:rPr>
        <w:annotationRef/>
      </w:r>
      <w:r>
        <w:rPr>
          <w:color w:val="000000"/>
        </w:rPr>
        <w:t>R12 is in the wrong place here?</w:t>
      </w:r>
    </w:p>
  </w:comment>
  <w:comment w:id="47" w:author="Connie Clare" w:date="2026-06-10T10:57:00Z" w:initials="">
    <w:p w14:paraId="0000086F" w14:textId="77777777" w:rsidR="00031725" w:rsidRDefault="009B2360">
      <w:pPr>
        <w:widowControl w:val="0"/>
        <w:pBdr>
          <w:top w:val="nil"/>
          <w:left w:val="nil"/>
          <w:bottom w:val="nil"/>
          <w:right w:val="nil"/>
          <w:between w:val="nil"/>
        </w:pBdr>
        <w:spacing w:after="0" w:line="240" w:lineRule="auto"/>
        <w:rPr>
          <w:color w:val="000000"/>
        </w:rPr>
      </w:pPr>
      <w:r>
        <w:rPr>
          <w:rStyle w:val="CommentReference"/>
        </w:rPr>
        <w:annotationRef/>
      </w:r>
      <w:r>
        <w:rPr>
          <w:color w:val="000000"/>
        </w:rPr>
        <w:t>Come back to this</w:t>
      </w:r>
    </w:p>
  </w:comment>
  <w:comment w:id="51" w:author="Connie Clare" w:date="2026-06-10T19:55:00Z" w:initials="">
    <w:p w14:paraId="00000872" w14:textId="77777777" w:rsidR="00031725" w:rsidRDefault="009B2360">
      <w:pPr>
        <w:widowControl w:val="0"/>
        <w:pBdr>
          <w:top w:val="nil"/>
          <w:left w:val="nil"/>
          <w:bottom w:val="nil"/>
          <w:right w:val="nil"/>
          <w:between w:val="nil"/>
        </w:pBdr>
        <w:spacing w:after="0" w:line="240" w:lineRule="auto"/>
        <w:rPr>
          <w:color w:val="000000"/>
        </w:rPr>
      </w:pPr>
      <w:r>
        <w:rPr>
          <w:rStyle w:val="CommentReference"/>
        </w:rPr>
        <w:annotationRef/>
      </w:r>
      <w:r>
        <w:rPr>
          <w:color w:val="000000"/>
        </w:rPr>
        <w:t>Check against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15:commentEx w15:paraId="00000871" w15:done="0"/>
  <w15:commentEx w15:paraId="00000870" w15:done="0"/>
  <w15:commentEx w15:paraId="0000086F" w15:done="0"/>
  <w15:commentEx w15:paraId="0000087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16cid:commentId w16cid:paraId="00000871" w16cid:durableId="00000871"/>
  <w16cid:commentId w16cid:paraId="00000870" w16cid:durableId="00000870"/>
  <w16cid:commentId w16cid:paraId="0000086F" w16cid:durableId="0000086F"/>
  <w16cid:commentId w16cid:paraId="00000872" w16cid:durableId="000008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1F98F784" w14:textId="77777777" w:rsidR="003B5F39" w:rsidRDefault="003B5F39">
      <w:pPr>
        <w:spacing w:after="0" w:line="240" w:lineRule="auto"/>
      </w:pPr>
      <w:r>
        <w:separator/>
      </w:r>
    </w:p>
  </w:endnote>
  <w:endnote w:type="continuationSeparator" w:id="0">
    <w:p w14:paraId="520DA430" w14:textId="77777777" w:rsidR="003B5F39" w:rsidRDefault="003B5F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D19E0FE-7729-1444-AE0F-C2297D2F7ACA}"/>
    <w:embedBold r:id="rId2" w:fontKey="{F89F9307-69F4-3A47-92BF-AA0C89CAF1EA}"/>
  </w:font>
  <w:font w:name="Symbol">
    <w:panose1 w:val="05050102010706020507"/>
    <w:charset w:val="02"/>
    <w:family w:val="decorative"/>
    <w:pitch w:val="variable"/>
    <w:sig w:usb0="00000000" w:usb1="10000000" w:usb2="00000000" w:usb3="00000000" w:csb0="80000000" w:csb1="00000000"/>
    <w:embedRegular r:id="rId3" w:fontKey="{966FAE1E-7F03-D441-882F-8E19750FA51A}"/>
  </w:font>
  <w:font w:name="Arial">
    <w:panose1 w:val="020B0604020202020204"/>
    <w:charset w:val="00"/>
    <w:family w:val="swiss"/>
    <w:pitch w:val="variable"/>
    <w:sig w:usb0="E0002AFF" w:usb1="C0007843" w:usb2="00000009" w:usb3="00000000" w:csb0="000001FF" w:csb1="00000000"/>
    <w:embedRegular r:id="rId4" w:fontKey="{12FDF266-AABA-924D-B0C6-01C6159ED0AC}"/>
    <w:embedBold r:id="rId5" w:fontKey="{66BB5226-1F6F-DD46-9B29-6AD00210AFF5}"/>
    <w:embedItalic r:id="rId6" w:fontKey="{368C389D-9FD6-A94C-9C3A-A976EA67AE16}"/>
    <w:embedBoldItalic r:id="rId7" w:fontKey="{CEAB8878-F2F9-4C49-9FCA-3309F6350F5C}"/>
  </w:font>
  <w:font w:name="Calibri">
    <w:panose1 w:val="020F0502020204030204"/>
    <w:charset w:val="00"/>
    <w:family w:val="swiss"/>
    <w:pitch w:val="variable"/>
    <w:sig w:usb0="E0002AFF" w:usb1="C000247B" w:usb2="00000009" w:usb3="00000000" w:csb0="000001FF" w:csb1="00000000"/>
    <w:embedRegular r:id="rId8" w:fontKey="{A4B574DE-893B-044B-AFD1-F92A96E57086}"/>
  </w:font>
  <w:font w:name="Georgia">
    <w:panose1 w:val="02040502050405020303"/>
    <w:charset w:val="00"/>
    <w:family w:val="roman"/>
    <w:pitch w:val="variable"/>
    <w:sig w:usb0="00000287" w:usb1="00000000" w:usb2="00000000" w:usb3="00000000" w:csb0="0000009F" w:csb1="00000000"/>
    <w:embedItalic r:id="rId9" w:fontKey="{974CDC45-613A-C445-A8D7-8547235B1078}"/>
  </w:font>
  <w:font w:name="Cambria">
    <w:panose1 w:val="02040503050406030204"/>
    <w:charset w:val="00"/>
    <w:family w:val="roman"/>
    <w:pitch w:val="variable"/>
    <w:sig w:usb0="E00002FF" w:usb1="400004FF" w:usb2="00000000" w:usb3="00000000" w:csb0="0000019F" w:csb1="00000000"/>
    <w:embedRegular r:id="rId10" w:fontKey="{197F5689-686C-1045-8C30-517E87048045}"/>
  </w:font>
  <w:font w:name="Roboto">
    <w:panose1 w:val="02000000000000000000"/>
    <w:charset w:val="00"/>
    <w:family w:val="auto"/>
    <w:pitch w:val="variable"/>
    <w:sig w:usb0="E0000AFF" w:usb1="5000217F" w:usb2="00000021" w:usb3="00000000" w:csb0="0000019F" w:csb1="00000000"/>
    <w:embedRegular r:id="rId11" w:fontKey="{DC1C6B07-9D16-4D43-A253-D22B3ABCDE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0000863" w14:textId="34BA4376" w:rsidR="00031725" w:rsidRPr="001477A4" w:rsidRDefault="00000000">
    <w:pPr>
      <w:pBdr>
        <w:top w:val="single" w:sz="4" w:space="2" w:color="CCCCCC"/>
      </w:pBdr>
      <w:tabs>
        <w:tab w:val="right" w:pos="9026"/>
      </w:tabs>
      <w:spacing w:before="120"/>
      <w:rPr>
        <w:sz w:val="16"/>
        <w:szCs w:val="16"/>
      </w:rPr>
    </w:pPr>
    <w:r w:rsidRPr="001477A4">
      <w:rPr>
        <w:color w:val="888888"/>
        <w:sz w:val="16"/>
        <w:szCs w:val="16"/>
      </w:rPr>
      <w:t xml:space="preserve">RDA-Microsoft Global Agentic AI </w:t>
    </w:r>
    <w:r w:rsidR="003255B7" w:rsidRPr="001477A4">
      <w:rPr>
        <w:color w:val="888888"/>
        <w:sz w:val="16"/>
        <w:szCs w:val="16"/>
      </w:rPr>
      <w:t>Initiative | Open</w:t>
    </w:r>
    <w:r w:rsidRPr="001477A4">
      <w:rPr>
        <w:color w:val="888888"/>
        <w:sz w:val="16"/>
        <w:szCs w:val="16"/>
      </w:rPr>
      <w:t xml:space="preserve"> for community implementation</w:t>
    </w:r>
    <w:r w:rsidRPr="001477A4">
      <w:rPr>
        <w:sz w:val="16"/>
        <w:szCs w:val="16"/>
      </w:rPr>
      <w:tab/>
    </w:r>
    <w:r w:rsidRPr="001477A4">
      <w:rPr>
        <w:color w:val="888888"/>
        <w:sz w:val="16"/>
        <w:szCs w:val="16"/>
      </w:rPr>
      <w:t xml:space="preserve">Page </w:t>
    </w:r>
    <w:r w:rsidRPr="001477A4">
      <w:rPr>
        <w:color w:val="808080" w:themeColor="background1" w:themeShade="80"/>
        <w:sz w:val="16"/>
        <w:szCs w:val="16"/>
      </w:rPr>
      <w:fldChar w:fldCharType="begin"/>
    </w:r>
    <w:r w:rsidRPr="001477A4">
      <w:rPr>
        <w:color w:val="808080" w:themeColor="background1" w:themeShade="80"/>
        <w:sz w:val="16"/>
        <w:szCs w:val="16"/>
      </w:rPr>
      <w:instrText>PAGE</w:instrText>
    </w:r>
    <w:r w:rsidRPr="001477A4">
      <w:rPr>
        <w:color w:val="808080" w:themeColor="background1" w:themeShade="80"/>
        <w:sz w:val="16"/>
        <w:szCs w:val="16"/>
      </w:rPr>
      <w:fldChar w:fldCharType="separate"/>
    </w:r>
    <w:r w:rsidR="009B2360" w:rsidRPr="001477A4">
      <w:rPr>
        <w:noProof/>
        <w:color w:val="808080" w:themeColor="background1" w:themeShade="80"/>
        <w:sz w:val="16"/>
        <w:szCs w:val="16"/>
      </w:rPr>
      <w:t>3</w:t>
    </w:r>
    <w:r w:rsidRPr="001477A4">
      <w:rPr>
        <w:color w:val="808080" w:themeColor="background1" w:themeShade="8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6ACC5B94" w14:textId="77777777" w:rsidR="003B5F39" w:rsidRDefault="003B5F39">
      <w:pPr>
        <w:spacing w:after="0" w:line="240" w:lineRule="auto"/>
      </w:pPr>
      <w:r>
        <w:separator/>
      </w:r>
    </w:p>
  </w:footnote>
  <w:footnote w:type="continuationSeparator" w:id="0">
    <w:p w14:paraId="4C94DB7F" w14:textId="77777777" w:rsidR="003B5F39" w:rsidRDefault="003B5F39">
      <w:pPr>
        <w:spacing w:after="0" w:line="240" w:lineRule="auto"/>
      </w:pPr>
      <w:r>
        <w:continuationSeparator/>
      </w:r>
    </w:p>
  </w:footnote>
  <w:footnote w:id="1">
    <w:p w14:paraId="0000081B" w14:textId="77777777" w:rsidR="00031725" w:rsidRDefault="00000000">
      <w:pPr>
        <w:rPr>
          <w:sz w:val="16"/>
          <w:szCs w:val="16"/>
        </w:rPr>
      </w:pPr>
      <w:r>
        <w:rPr>
          <w:vertAlign w:val="superscript"/>
        </w:rPr>
        <w:footnoteRef/>
      </w:r>
      <w:r>
        <w:rPr>
          <w:sz w:val="16"/>
          <w:szCs w:val="16"/>
        </w:rPr>
        <w:t xml:space="preserve"> </w:t>
      </w:r>
      <w:hyperlink r:id="rId1">
        <w:r w:rsidR="00031725">
          <w:rPr>
            <w:color w:val="1155CC"/>
            <w:sz w:val="16"/>
            <w:szCs w:val="16"/>
            <w:u w:val="single"/>
          </w:rPr>
          <w:t>https://www.rd-alliance.org/about/</w:t>
        </w:r>
      </w:hyperlink>
      <w:r>
        <w:rPr>
          <w:sz w:val="16"/>
          <w:szCs w:val="16"/>
        </w:rPr>
        <w:t xml:space="preserve"> </w:t>
      </w:r>
    </w:p>
  </w:footnote>
  <w:footnote w:id="2">
    <w:p w14:paraId="0000081C" w14:textId="77777777" w:rsidR="00031725" w:rsidRDefault="00000000">
      <w:pPr>
        <w:spacing w:after="0" w:line="240" w:lineRule="auto"/>
        <w:rPr>
          <w:sz w:val="16"/>
          <w:szCs w:val="16"/>
        </w:rPr>
      </w:pPr>
      <w:r>
        <w:rPr>
          <w:vertAlign w:val="superscript"/>
        </w:rPr>
        <w:footnoteRef/>
      </w:r>
      <w:r>
        <w:rPr>
          <w:sz w:val="16"/>
          <w:szCs w:val="16"/>
        </w:rPr>
        <w:t xml:space="preserve"> </w:t>
      </w:r>
      <w:hyperlink r:id="rId2">
        <w:r w:rsidR="00031725">
          <w:rPr>
            <w:color w:val="1155CC"/>
            <w:sz w:val="16"/>
            <w:szCs w:val="16"/>
            <w:u w:val="single"/>
          </w:rPr>
          <w:t>https://www.rd-alliance.org/groups/data-director-agentic-ai-Blueprint/activity/</w:t>
        </w:r>
      </w:hyperlink>
      <w:r>
        <w:rPr>
          <w:sz w:val="16"/>
          <w:szCs w:val="16"/>
        </w:rPr>
        <w:t xml:space="preserve"> </w:t>
      </w:r>
    </w:p>
  </w:footnote>
  <w:footnote w:id="3">
    <w:p w14:paraId="0000081D" w14:textId="77777777" w:rsidR="00031725" w:rsidRDefault="00000000">
      <w:pPr>
        <w:spacing w:after="0" w:line="240" w:lineRule="auto"/>
        <w:rPr>
          <w:sz w:val="16"/>
          <w:szCs w:val="16"/>
        </w:rPr>
      </w:pPr>
      <w:r>
        <w:rPr>
          <w:vertAlign w:val="superscript"/>
        </w:rPr>
        <w:footnoteRef/>
      </w:r>
      <w:r>
        <w:rPr>
          <w:sz w:val="16"/>
          <w:szCs w:val="16"/>
        </w:rPr>
        <w:t xml:space="preserve"> </w:t>
      </w:r>
      <w:hyperlink r:id="rId3">
        <w:r w:rsidR="00031725">
          <w:rPr>
            <w:color w:val="1155CC"/>
            <w:sz w:val="16"/>
            <w:szCs w:val="16"/>
            <w:u w:val="single"/>
          </w:rPr>
          <w:t>https://www.rd-alliance.org/value_rda/rda-and-artificial-intelligence/global-community-priorities-for-agentic-ai-development/</w:t>
        </w:r>
      </w:hyperlink>
      <w:r>
        <w:rPr>
          <w:sz w:val="16"/>
          <w:szCs w:val="16"/>
        </w:rPr>
        <w:t xml:space="preserve"> </w:t>
      </w:r>
    </w:p>
  </w:footnote>
  <w:footnote w:id="4">
    <w:p w14:paraId="0000085A" w14:textId="77777777" w:rsidR="00031725" w:rsidRDefault="00000000">
      <w:pPr>
        <w:spacing w:after="0" w:line="240" w:lineRule="auto"/>
        <w:rPr>
          <w:sz w:val="16"/>
          <w:szCs w:val="16"/>
        </w:rPr>
      </w:pPr>
      <w:r>
        <w:rPr>
          <w:vertAlign w:val="superscript"/>
        </w:rPr>
        <w:footnoteRef/>
      </w:r>
      <w:r>
        <w:rPr>
          <w:sz w:val="16"/>
          <w:szCs w:val="16"/>
        </w:rPr>
        <w:t xml:space="preserve"> </w:t>
      </w:r>
      <w:hyperlink r:id="rId4">
        <w:r w:rsidR="00031725">
          <w:rPr>
            <w:color w:val="1155CC"/>
            <w:sz w:val="16"/>
            <w:szCs w:val="16"/>
            <w:u w:val="single"/>
          </w:rPr>
          <w:t>https://www.rd-alliance.org/</w:t>
        </w:r>
      </w:hyperlink>
      <w:r>
        <w:rPr>
          <w:sz w:val="16"/>
          <w:szCs w:val="16"/>
        </w:rPr>
        <w:t xml:space="preserve"> </w:t>
      </w:r>
    </w:p>
  </w:footnote>
  <w:footnote w:id="5">
    <w:p w14:paraId="0000085B" w14:textId="77777777" w:rsidR="00031725" w:rsidRDefault="00000000">
      <w:pPr>
        <w:spacing w:after="0" w:line="240" w:lineRule="auto"/>
        <w:rPr>
          <w:sz w:val="16"/>
          <w:szCs w:val="16"/>
        </w:rPr>
      </w:pPr>
      <w:r>
        <w:rPr>
          <w:vertAlign w:val="superscript"/>
        </w:rPr>
        <w:footnoteRef/>
      </w:r>
      <w:r>
        <w:rPr>
          <w:sz w:val="16"/>
          <w:szCs w:val="16"/>
        </w:rPr>
        <w:t xml:space="preserve"> </w:t>
      </w:r>
      <w:hyperlink r:id="rId5">
        <w:r w:rsidR="00031725">
          <w:rPr>
            <w:color w:val="1155CC"/>
            <w:sz w:val="16"/>
            <w:szCs w:val="16"/>
            <w:u w:val="single"/>
          </w:rPr>
          <w:t>https://www.microsoft.com/</w:t>
        </w:r>
      </w:hyperlink>
      <w:r>
        <w:rPr>
          <w:sz w:val="16"/>
          <w:szCs w:val="16"/>
        </w:rPr>
        <w:t xml:space="preserve"> </w:t>
      </w:r>
    </w:p>
  </w:footnote>
  <w:footnote w:id="6">
    <w:p w14:paraId="0000081E" w14:textId="77777777" w:rsidR="00031725" w:rsidRDefault="00000000">
      <w:pPr>
        <w:spacing w:after="0" w:line="240" w:lineRule="auto"/>
        <w:rPr>
          <w:sz w:val="16"/>
          <w:szCs w:val="16"/>
        </w:rPr>
      </w:pPr>
      <w:r>
        <w:rPr>
          <w:vertAlign w:val="superscript"/>
        </w:rPr>
        <w:footnoteRef/>
      </w:r>
      <w:r>
        <w:rPr>
          <w:sz w:val="16"/>
          <w:szCs w:val="16"/>
        </w:rPr>
        <w:t xml:space="preserve"> </w:t>
      </w:r>
      <w:hyperlink r:id="rId6">
        <w:r w:rsidR="00031725">
          <w:rPr>
            <w:color w:val="1155CC"/>
            <w:sz w:val="16"/>
            <w:szCs w:val="16"/>
            <w:highlight w:val="white"/>
            <w:u w:val="single"/>
          </w:rPr>
          <w:t>https://doi.org/10.1038/sdata.2016.18</w:t>
        </w:r>
      </w:hyperlink>
      <w:r>
        <w:rPr>
          <w:color w:val="222222"/>
          <w:sz w:val="16"/>
          <w:szCs w:val="16"/>
          <w:highlight w:val="white"/>
        </w:rPr>
        <w:t xml:space="preserve"> </w:t>
      </w:r>
    </w:p>
  </w:footnote>
  <w:footnote w:id="7">
    <w:p w14:paraId="00000821" w14:textId="77777777" w:rsidR="00031725" w:rsidRDefault="00000000">
      <w:pPr>
        <w:spacing w:after="0" w:line="240" w:lineRule="auto"/>
        <w:rPr>
          <w:sz w:val="16"/>
          <w:szCs w:val="16"/>
        </w:rPr>
      </w:pPr>
      <w:r>
        <w:rPr>
          <w:vertAlign w:val="superscript"/>
        </w:rPr>
        <w:footnoteRef/>
      </w:r>
      <w:r>
        <w:rPr>
          <w:sz w:val="16"/>
          <w:szCs w:val="16"/>
        </w:rPr>
        <w:t xml:space="preserve"> </w:t>
      </w:r>
      <w:hyperlink r:id="rId7">
        <w:r w:rsidR="00031725">
          <w:rPr>
            <w:color w:val="1155CC"/>
            <w:sz w:val="16"/>
            <w:szCs w:val="16"/>
            <w:u w:val="single"/>
          </w:rPr>
          <w:t>https://www.rd-alliance.org/about/how-rda-works/</w:t>
        </w:r>
      </w:hyperlink>
      <w:r>
        <w:rPr>
          <w:sz w:val="16"/>
          <w:szCs w:val="16"/>
        </w:rPr>
        <w:t xml:space="preserve"> </w:t>
      </w:r>
    </w:p>
  </w:footnote>
  <w:footnote w:id="8">
    <w:p w14:paraId="0000081F" w14:textId="77777777" w:rsidR="00031725" w:rsidRDefault="00000000">
      <w:pPr>
        <w:spacing w:after="0" w:line="240" w:lineRule="auto"/>
        <w:rPr>
          <w:sz w:val="16"/>
          <w:szCs w:val="16"/>
        </w:rPr>
      </w:pPr>
      <w:r>
        <w:rPr>
          <w:vertAlign w:val="superscript"/>
        </w:rPr>
        <w:footnoteRef/>
      </w:r>
      <w:r>
        <w:rPr>
          <w:sz w:val="16"/>
          <w:szCs w:val="16"/>
        </w:rPr>
        <w:t xml:space="preserve"> </w:t>
      </w:r>
      <w:hyperlink r:id="rId8">
        <w:r w:rsidR="00031725">
          <w:rPr>
            <w:color w:val="1155CC"/>
            <w:sz w:val="16"/>
            <w:szCs w:val="16"/>
            <w:u w:val="single"/>
          </w:rPr>
          <w:t>https://www.rd-alliance.org/wp-content/uploads/2024/03/RDA-Private-Sector-Engagement-Framework-v1.0.pdf</w:t>
        </w:r>
      </w:hyperlink>
      <w:r>
        <w:rPr>
          <w:sz w:val="16"/>
          <w:szCs w:val="16"/>
        </w:rPr>
        <w:t xml:space="preserve"> </w:t>
      </w:r>
    </w:p>
  </w:footnote>
  <w:footnote w:id="9">
    <w:p w14:paraId="00000820" w14:textId="77777777" w:rsidR="00031725" w:rsidRDefault="00000000">
      <w:pPr>
        <w:spacing w:after="0" w:line="240" w:lineRule="auto"/>
        <w:rPr>
          <w:sz w:val="16"/>
          <w:szCs w:val="16"/>
        </w:rPr>
      </w:pPr>
      <w:r>
        <w:rPr>
          <w:vertAlign w:val="superscript"/>
        </w:rPr>
        <w:footnoteRef/>
      </w:r>
      <w:r>
        <w:rPr>
          <w:sz w:val="16"/>
          <w:szCs w:val="16"/>
        </w:rPr>
        <w:t xml:space="preserve"> </w:t>
      </w:r>
      <w:hyperlink r:id="rId9">
        <w:r w:rsidR="00031725">
          <w:rPr>
            <w:color w:val="1155CC"/>
            <w:sz w:val="16"/>
            <w:szCs w:val="16"/>
            <w:u w:val="single"/>
          </w:rPr>
          <w:t>https://www.rd-alliance.org/recommendations-and-outputs/</w:t>
        </w:r>
      </w:hyperlink>
      <w:r>
        <w:rPr>
          <w:sz w:val="16"/>
          <w:szCs w:val="16"/>
        </w:rPr>
        <w:t xml:space="preserve"> </w:t>
      </w:r>
    </w:p>
  </w:footnote>
  <w:footnote w:id="10">
    <w:p w14:paraId="00000822" w14:textId="77777777" w:rsidR="00031725" w:rsidRDefault="00000000">
      <w:pPr>
        <w:spacing w:after="0" w:line="240" w:lineRule="auto"/>
        <w:rPr>
          <w:sz w:val="16"/>
          <w:szCs w:val="16"/>
        </w:rPr>
      </w:pPr>
      <w:r>
        <w:rPr>
          <w:vertAlign w:val="superscript"/>
        </w:rPr>
        <w:footnoteRef/>
      </w:r>
      <w:r>
        <w:rPr>
          <w:sz w:val="16"/>
          <w:szCs w:val="16"/>
        </w:rPr>
        <w:t xml:space="preserve"> </w:t>
      </w:r>
      <w:hyperlink r:id="rId10">
        <w:r w:rsidR="00031725">
          <w:rPr>
            <w:rFonts w:ascii="Roboto" w:eastAsia="Roboto" w:hAnsi="Roboto" w:cs="Roboto"/>
            <w:color w:val="1155CC"/>
            <w:sz w:val="16"/>
            <w:szCs w:val="16"/>
            <w:highlight w:val="white"/>
            <w:u w:val="single"/>
          </w:rPr>
          <w:t>https://doi.org/10.5334/dsj-2020-043</w:t>
        </w:r>
      </w:hyperlink>
      <w:r>
        <w:rPr>
          <w:rFonts w:ascii="Roboto" w:eastAsia="Roboto" w:hAnsi="Roboto" w:cs="Roboto"/>
          <w:color w:val="121212"/>
          <w:sz w:val="16"/>
          <w:szCs w:val="16"/>
          <w:highlight w:val="white"/>
        </w:rPr>
        <w:t xml:space="preserve"> </w:t>
      </w:r>
    </w:p>
  </w:footnote>
  <w:footnote w:id="11">
    <w:p w14:paraId="00000868" w14:textId="77777777" w:rsidR="00031725" w:rsidRDefault="00000000">
      <w:pPr>
        <w:spacing w:after="0" w:line="240" w:lineRule="auto"/>
        <w:rPr>
          <w:sz w:val="16"/>
          <w:szCs w:val="16"/>
        </w:rPr>
      </w:pPr>
      <w:r>
        <w:rPr>
          <w:vertAlign w:val="superscript"/>
        </w:rPr>
        <w:footnoteRef/>
      </w:r>
      <w:r>
        <w:rPr>
          <w:sz w:val="16"/>
          <w:szCs w:val="16"/>
        </w:rPr>
        <w:t xml:space="preserve"> </w:t>
      </w:r>
      <w:hyperlink r:id="rId11">
        <w:r w:rsidR="00031725">
          <w:rPr>
            <w:color w:val="1155CC"/>
            <w:sz w:val="16"/>
            <w:szCs w:val="16"/>
            <w:u w:val="single"/>
          </w:rPr>
          <w:t>https://localcontexts.org/</w:t>
        </w:r>
      </w:hyperlink>
      <w:r>
        <w:rPr>
          <w:sz w:val="16"/>
          <w:szCs w:val="16"/>
        </w:rPr>
        <w:t xml:space="preserve"> </w:t>
      </w:r>
    </w:p>
  </w:footnote>
  <w:footnote w:id="12">
    <w:p w14:paraId="00000823" w14:textId="77777777" w:rsidR="00031725" w:rsidRDefault="00000000">
      <w:pPr>
        <w:spacing w:after="0" w:line="240" w:lineRule="auto"/>
        <w:rPr>
          <w:sz w:val="20"/>
          <w:szCs w:val="20"/>
        </w:rPr>
      </w:pPr>
      <w:r>
        <w:rPr>
          <w:vertAlign w:val="superscript"/>
        </w:rPr>
        <w:footnoteRef/>
      </w:r>
      <w:r>
        <w:rPr>
          <w:sz w:val="16"/>
          <w:szCs w:val="16"/>
        </w:rPr>
        <w:t xml:space="preserve"> </w:t>
      </w:r>
      <w:hyperlink r:id="rId12">
        <w:r w:rsidR="00031725">
          <w:rPr>
            <w:color w:val="1155CC"/>
            <w:sz w:val="16"/>
            <w:szCs w:val="16"/>
            <w:u w:val="single"/>
          </w:rPr>
          <w:t>https://www.coretrustseal.org/</w:t>
        </w:r>
      </w:hyperlink>
    </w:p>
  </w:footnote>
  <w:footnote w:id="13">
    <w:p w14:paraId="00000824" w14:textId="77777777" w:rsidR="00031725" w:rsidRDefault="00000000">
      <w:pPr>
        <w:spacing w:after="0" w:line="240" w:lineRule="auto"/>
        <w:rPr>
          <w:sz w:val="16"/>
          <w:szCs w:val="16"/>
        </w:rPr>
      </w:pPr>
      <w:r>
        <w:rPr>
          <w:vertAlign w:val="superscript"/>
        </w:rPr>
        <w:footnoteRef/>
      </w:r>
      <w:r>
        <w:rPr>
          <w:sz w:val="16"/>
          <w:szCs w:val="16"/>
        </w:rPr>
        <w:t xml:space="preserve"> </w:t>
      </w:r>
      <w:hyperlink r:id="rId13">
        <w:r w:rsidR="00031725">
          <w:rPr>
            <w:color w:val="1155CC"/>
            <w:sz w:val="16"/>
            <w:szCs w:val="16"/>
            <w:u w:val="single"/>
          </w:rPr>
          <w:t>https://fairsharing.org/</w:t>
        </w:r>
      </w:hyperlink>
      <w:r>
        <w:rPr>
          <w:sz w:val="16"/>
          <w:szCs w:val="16"/>
        </w:rPr>
        <w:t xml:space="preserve"> </w:t>
      </w:r>
    </w:p>
  </w:footnote>
  <w:footnote w:id="14">
    <w:p w14:paraId="00000825" w14:textId="77777777" w:rsidR="00031725" w:rsidRDefault="00000000">
      <w:pPr>
        <w:spacing w:after="0" w:line="240" w:lineRule="auto"/>
        <w:rPr>
          <w:sz w:val="16"/>
          <w:szCs w:val="16"/>
        </w:rPr>
      </w:pPr>
      <w:r>
        <w:rPr>
          <w:vertAlign w:val="superscript"/>
        </w:rPr>
        <w:footnoteRef/>
      </w:r>
      <w:r>
        <w:rPr>
          <w:sz w:val="16"/>
          <w:szCs w:val="16"/>
        </w:rPr>
        <w:t xml:space="preserve"> </w:t>
      </w:r>
      <w:hyperlink r:id="rId14">
        <w:r w:rsidR="00031725">
          <w:rPr>
            <w:color w:val="1155CC"/>
            <w:sz w:val="16"/>
            <w:szCs w:val="16"/>
            <w:u w:val="single"/>
          </w:rPr>
          <w:t>https://fairassist.org/</w:t>
        </w:r>
      </w:hyperlink>
      <w:r>
        <w:rPr>
          <w:sz w:val="16"/>
          <w:szCs w:val="16"/>
        </w:rPr>
        <w:t xml:space="preserve"> </w:t>
      </w:r>
    </w:p>
  </w:footnote>
  <w:footnote w:id="15">
    <w:p w14:paraId="00000826" w14:textId="77777777" w:rsidR="00031725" w:rsidRDefault="00000000">
      <w:pPr>
        <w:spacing w:after="0" w:line="240" w:lineRule="auto"/>
        <w:rPr>
          <w:sz w:val="16"/>
          <w:szCs w:val="16"/>
        </w:rPr>
      </w:pPr>
      <w:r>
        <w:rPr>
          <w:vertAlign w:val="superscript"/>
        </w:rPr>
        <w:footnoteRef/>
      </w:r>
      <w:r>
        <w:rPr>
          <w:sz w:val="16"/>
          <w:szCs w:val="16"/>
        </w:rPr>
        <w:t xml:space="preserve"> </w:t>
      </w:r>
      <w:hyperlink r:id="rId15">
        <w:r w:rsidR="00031725">
          <w:rPr>
            <w:color w:val="1155CC"/>
            <w:sz w:val="20"/>
            <w:szCs w:val="20"/>
            <w:u w:val="single"/>
          </w:rPr>
          <w:t>https://www.w3.org/TR/prov-o/</w:t>
        </w:r>
      </w:hyperlink>
      <w:r>
        <w:rPr>
          <w:sz w:val="20"/>
          <w:szCs w:val="20"/>
        </w:rPr>
        <w:t xml:space="preserve"> </w:t>
      </w:r>
    </w:p>
  </w:footnote>
  <w:footnote w:id="16">
    <w:p w14:paraId="00000864" w14:textId="77777777" w:rsidR="00031725" w:rsidRDefault="00000000">
      <w:pPr>
        <w:spacing w:after="0" w:line="240" w:lineRule="auto"/>
        <w:rPr>
          <w:sz w:val="16"/>
          <w:szCs w:val="16"/>
        </w:rPr>
      </w:pPr>
      <w:r>
        <w:rPr>
          <w:vertAlign w:val="superscript"/>
        </w:rPr>
        <w:footnoteRef/>
      </w:r>
      <w:r>
        <w:rPr>
          <w:sz w:val="16"/>
          <w:szCs w:val="16"/>
        </w:rPr>
        <w:t xml:space="preserve"> </w:t>
      </w:r>
      <w:hyperlink r:id="rId16">
        <w:r w:rsidR="00031725">
          <w:rPr>
            <w:color w:val="1155CC"/>
            <w:sz w:val="16"/>
            <w:szCs w:val="16"/>
            <w:u w:val="single"/>
          </w:rPr>
          <w:t>https://credit.niso.org/</w:t>
        </w:r>
      </w:hyperlink>
      <w:r>
        <w:rPr>
          <w:sz w:val="16"/>
          <w:szCs w:val="16"/>
        </w:rPr>
        <w:t xml:space="preserve"> </w:t>
      </w:r>
    </w:p>
  </w:footnote>
  <w:footnote w:id="17">
    <w:p w14:paraId="00000865" w14:textId="77777777" w:rsidR="00031725" w:rsidRDefault="00000000">
      <w:pPr>
        <w:spacing w:after="0" w:line="240" w:lineRule="auto"/>
        <w:rPr>
          <w:sz w:val="14"/>
          <w:szCs w:val="14"/>
        </w:rPr>
      </w:pPr>
      <w:r>
        <w:rPr>
          <w:vertAlign w:val="superscript"/>
        </w:rPr>
        <w:footnoteRef/>
      </w:r>
      <w:r>
        <w:rPr>
          <w:sz w:val="18"/>
          <w:szCs w:val="18"/>
        </w:rPr>
        <w:t xml:space="preserve"> </w:t>
      </w:r>
      <w:hyperlink r:id="rId17">
        <w:r w:rsidR="00031725">
          <w:rPr>
            <w:color w:val="1155CC"/>
            <w:sz w:val="16"/>
            <w:szCs w:val="16"/>
            <w:u w:val="single"/>
          </w:rPr>
          <w:t>https://www.rfc-editor.org/info/bcp14</w:t>
        </w:r>
      </w:hyperlink>
      <w:r>
        <w:rPr>
          <w:sz w:val="14"/>
          <w:szCs w:val="14"/>
        </w:rPr>
        <w:t xml:space="preserve"> </w:t>
      </w:r>
    </w:p>
  </w:footnote>
  <w:footnote w:id="18">
    <w:p w14:paraId="00000832" w14:textId="77777777" w:rsidR="00031725" w:rsidRDefault="00000000">
      <w:pPr>
        <w:spacing w:after="0" w:line="240" w:lineRule="auto"/>
        <w:rPr>
          <w:sz w:val="16"/>
          <w:szCs w:val="16"/>
        </w:rPr>
      </w:pPr>
      <w:r>
        <w:rPr>
          <w:vertAlign w:val="superscript"/>
        </w:rPr>
        <w:footnoteRef/>
      </w:r>
      <w:r>
        <w:rPr>
          <w:sz w:val="16"/>
          <w:szCs w:val="16"/>
        </w:rPr>
        <w:t xml:space="preserve"> </w:t>
      </w:r>
      <w:hyperlink r:id="rId18">
        <w:r w:rsidR="00031725">
          <w:rPr>
            <w:color w:val="1155CC"/>
            <w:sz w:val="16"/>
            <w:szCs w:val="16"/>
            <w:u w:val="single"/>
          </w:rPr>
          <w:t>https://fairsharing.org/</w:t>
        </w:r>
      </w:hyperlink>
      <w:r>
        <w:rPr>
          <w:sz w:val="16"/>
          <w:szCs w:val="16"/>
        </w:rPr>
        <w:t xml:space="preserve"> </w:t>
      </w:r>
    </w:p>
  </w:footnote>
  <w:footnote w:id="19">
    <w:p w14:paraId="00000835" w14:textId="77777777" w:rsidR="00031725" w:rsidRDefault="00000000">
      <w:pPr>
        <w:spacing w:after="0" w:line="240" w:lineRule="auto"/>
        <w:rPr>
          <w:sz w:val="16"/>
          <w:szCs w:val="16"/>
        </w:rPr>
      </w:pPr>
      <w:r>
        <w:rPr>
          <w:vertAlign w:val="superscript"/>
        </w:rPr>
        <w:footnoteRef/>
      </w:r>
      <w:r>
        <w:rPr>
          <w:sz w:val="16"/>
          <w:szCs w:val="16"/>
        </w:rPr>
        <w:t xml:space="preserve"> </w:t>
      </w:r>
      <w:hyperlink r:id="rId19">
        <w:r w:rsidR="00031725">
          <w:rPr>
            <w:color w:val="1155CC"/>
            <w:sz w:val="16"/>
            <w:szCs w:val="16"/>
            <w:u w:val="single"/>
          </w:rPr>
          <w:t>https://mcp.fairsharing.org/</w:t>
        </w:r>
      </w:hyperlink>
      <w:r>
        <w:rPr>
          <w:sz w:val="16"/>
          <w:szCs w:val="16"/>
        </w:rPr>
        <w:t xml:space="preserve"> </w:t>
      </w:r>
    </w:p>
  </w:footnote>
  <w:footnote w:id="20">
    <w:p w14:paraId="00000836" w14:textId="77777777" w:rsidR="00031725" w:rsidRDefault="00000000">
      <w:pPr>
        <w:spacing w:after="0" w:line="240" w:lineRule="auto"/>
        <w:rPr>
          <w:sz w:val="16"/>
          <w:szCs w:val="16"/>
        </w:rPr>
      </w:pPr>
      <w:r>
        <w:rPr>
          <w:vertAlign w:val="superscript"/>
        </w:rPr>
        <w:footnoteRef/>
      </w:r>
      <w:r>
        <w:rPr>
          <w:sz w:val="16"/>
          <w:szCs w:val="16"/>
        </w:rPr>
        <w:t xml:space="preserve"> </w:t>
      </w:r>
      <w:hyperlink r:id="rId20">
        <w:r w:rsidR="00031725">
          <w:rPr>
            <w:color w:val="1155CC"/>
            <w:sz w:val="16"/>
            <w:szCs w:val="16"/>
            <w:u w:val="single"/>
          </w:rPr>
          <w:t>https://www.re3data.org/</w:t>
        </w:r>
      </w:hyperlink>
      <w:r>
        <w:rPr>
          <w:sz w:val="16"/>
          <w:szCs w:val="16"/>
        </w:rPr>
        <w:t xml:space="preserve"> </w:t>
      </w:r>
    </w:p>
  </w:footnote>
  <w:footnote w:id="21">
    <w:p w14:paraId="00000837" w14:textId="77777777" w:rsidR="00031725" w:rsidRDefault="00000000">
      <w:pPr>
        <w:spacing w:after="0" w:line="240" w:lineRule="auto"/>
        <w:rPr>
          <w:sz w:val="16"/>
          <w:szCs w:val="16"/>
        </w:rPr>
      </w:pPr>
      <w:r>
        <w:rPr>
          <w:vertAlign w:val="superscript"/>
        </w:rPr>
        <w:footnoteRef/>
      </w:r>
      <w:r>
        <w:rPr>
          <w:sz w:val="16"/>
          <w:szCs w:val="16"/>
        </w:rPr>
        <w:t xml:space="preserve"> </w:t>
      </w:r>
      <w:hyperlink r:id="rId21">
        <w:r w:rsidR="00031725">
          <w:rPr>
            <w:color w:val="1155CC"/>
            <w:sz w:val="16"/>
            <w:szCs w:val="16"/>
            <w:u w:val="single"/>
          </w:rPr>
          <w:t>https://finder.research.cornell.edu/</w:t>
        </w:r>
      </w:hyperlink>
      <w:r>
        <w:rPr>
          <w:sz w:val="16"/>
          <w:szCs w:val="16"/>
        </w:rPr>
        <w:t xml:space="preserve"> </w:t>
      </w:r>
    </w:p>
  </w:footnote>
  <w:footnote w:id="22">
    <w:p w14:paraId="0000082B" w14:textId="77777777" w:rsidR="00031725" w:rsidRDefault="00000000">
      <w:pPr>
        <w:spacing w:after="0" w:line="240" w:lineRule="auto"/>
        <w:rPr>
          <w:sz w:val="16"/>
          <w:szCs w:val="16"/>
        </w:rPr>
      </w:pPr>
      <w:r>
        <w:rPr>
          <w:vertAlign w:val="superscript"/>
        </w:rPr>
        <w:footnoteRef/>
      </w:r>
      <w:r>
        <w:rPr>
          <w:sz w:val="16"/>
          <w:szCs w:val="16"/>
        </w:rPr>
        <w:t xml:space="preserve"> </w:t>
      </w:r>
      <w:hyperlink r:id="rId22">
        <w:r w:rsidR="00031725">
          <w:rPr>
            <w:color w:val="1155CC"/>
            <w:sz w:val="16"/>
            <w:szCs w:val="16"/>
            <w:u w:val="single"/>
          </w:rPr>
          <w:t>https://www.ebi.ac.uk/ols/</w:t>
        </w:r>
      </w:hyperlink>
      <w:r>
        <w:rPr>
          <w:sz w:val="16"/>
          <w:szCs w:val="16"/>
        </w:rPr>
        <w:t xml:space="preserve"> </w:t>
      </w:r>
    </w:p>
  </w:footnote>
  <w:footnote w:id="23">
    <w:p w14:paraId="0000082C" w14:textId="77777777" w:rsidR="00031725" w:rsidRDefault="00000000">
      <w:pPr>
        <w:spacing w:after="0" w:line="240" w:lineRule="auto"/>
        <w:rPr>
          <w:sz w:val="16"/>
          <w:szCs w:val="16"/>
        </w:rPr>
      </w:pPr>
      <w:r>
        <w:rPr>
          <w:vertAlign w:val="superscript"/>
        </w:rPr>
        <w:footnoteRef/>
      </w:r>
      <w:r>
        <w:rPr>
          <w:sz w:val="16"/>
          <w:szCs w:val="16"/>
        </w:rPr>
        <w:t xml:space="preserve"> </w:t>
      </w:r>
      <w:hyperlink r:id="rId23">
        <w:r w:rsidR="00031725">
          <w:rPr>
            <w:color w:val="1155CC"/>
            <w:sz w:val="16"/>
            <w:szCs w:val="16"/>
            <w:u w:val="single"/>
          </w:rPr>
          <w:t>https://terminology.services.base4nfdi.de/provider</w:t>
        </w:r>
      </w:hyperlink>
      <w:r>
        <w:rPr>
          <w:sz w:val="16"/>
          <w:szCs w:val="16"/>
        </w:rPr>
        <w:t xml:space="preserve"> </w:t>
      </w:r>
    </w:p>
  </w:footnote>
  <w:footnote w:id="24">
    <w:p w14:paraId="0000082D" w14:textId="77777777" w:rsidR="00031725" w:rsidRDefault="00000000">
      <w:pPr>
        <w:spacing w:after="0" w:line="240" w:lineRule="auto"/>
        <w:rPr>
          <w:sz w:val="16"/>
          <w:szCs w:val="16"/>
        </w:rPr>
      </w:pPr>
      <w:r>
        <w:rPr>
          <w:vertAlign w:val="superscript"/>
        </w:rPr>
        <w:footnoteRef/>
      </w:r>
      <w:r>
        <w:rPr>
          <w:sz w:val="16"/>
          <w:szCs w:val="16"/>
        </w:rPr>
        <w:t xml:space="preserve"> </w:t>
      </w:r>
      <w:hyperlink r:id="rId24">
        <w:r w:rsidR="00031725">
          <w:rPr>
            <w:color w:val="1155CC"/>
            <w:sz w:val="16"/>
            <w:szCs w:val="16"/>
            <w:u w:val="single"/>
          </w:rPr>
          <w:t>https://bioportal.bioontology.org/</w:t>
        </w:r>
      </w:hyperlink>
      <w:r>
        <w:rPr>
          <w:sz w:val="16"/>
          <w:szCs w:val="16"/>
        </w:rPr>
        <w:t xml:space="preserve"> </w:t>
      </w:r>
    </w:p>
  </w:footnote>
  <w:footnote w:id="25">
    <w:p w14:paraId="0000082E" w14:textId="77777777" w:rsidR="00031725" w:rsidRDefault="00000000">
      <w:pPr>
        <w:spacing w:after="0" w:line="240" w:lineRule="auto"/>
        <w:rPr>
          <w:sz w:val="16"/>
          <w:szCs w:val="16"/>
        </w:rPr>
      </w:pPr>
      <w:r>
        <w:rPr>
          <w:vertAlign w:val="superscript"/>
        </w:rPr>
        <w:footnoteRef/>
      </w:r>
      <w:r>
        <w:rPr>
          <w:sz w:val="16"/>
          <w:szCs w:val="16"/>
        </w:rPr>
        <w:t xml:space="preserve"> </w:t>
      </w:r>
      <w:hyperlink r:id="rId25">
        <w:r w:rsidR="00031725">
          <w:rPr>
            <w:color w:val="1155CC"/>
            <w:sz w:val="16"/>
            <w:szCs w:val="16"/>
            <w:u w:val="single"/>
          </w:rPr>
          <w:t>https://agroportal.lirmm.fr/</w:t>
        </w:r>
      </w:hyperlink>
      <w:r>
        <w:rPr>
          <w:sz w:val="16"/>
          <w:szCs w:val="16"/>
        </w:rPr>
        <w:t xml:space="preserve">) </w:t>
      </w:r>
    </w:p>
  </w:footnote>
  <w:footnote w:id="26">
    <w:p w14:paraId="0000082F" w14:textId="77777777" w:rsidR="00031725" w:rsidRDefault="00000000">
      <w:pPr>
        <w:spacing w:after="0" w:line="240" w:lineRule="auto"/>
        <w:rPr>
          <w:sz w:val="16"/>
          <w:szCs w:val="16"/>
        </w:rPr>
      </w:pPr>
      <w:r>
        <w:rPr>
          <w:vertAlign w:val="superscript"/>
        </w:rPr>
        <w:footnoteRef/>
      </w:r>
      <w:r>
        <w:rPr>
          <w:sz w:val="16"/>
          <w:szCs w:val="16"/>
        </w:rPr>
        <w:t xml:space="preserve"> </w:t>
      </w:r>
      <w:hyperlink r:id="rId26">
        <w:r w:rsidR="00031725">
          <w:rPr>
            <w:color w:val="1155CC"/>
            <w:sz w:val="16"/>
            <w:szCs w:val="16"/>
            <w:u w:val="single"/>
          </w:rPr>
          <w:t>https://www.gida-global.org/</w:t>
        </w:r>
      </w:hyperlink>
      <w:r>
        <w:rPr>
          <w:sz w:val="16"/>
          <w:szCs w:val="16"/>
        </w:rPr>
        <w:t xml:space="preserve"> </w:t>
      </w:r>
    </w:p>
  </w:footnote>
  <w:footnote w:id="27">
    <w:p w14:paraId="00000830" w14:textId="77777777" w:rsidR="00031725" w:rsidRDefault="00000000">
      <w:pPr>
        <w:spacing w:after="0" w:line="240" w:lineRule="auto"/>
        <w:rPr>
          <w:sz w:val="16"/>
          <w:szCs w:val="16"/>
        </w:rPr>
      </w:pPr>
      <w:r>
        <w:rPr>
          <w:vertAlign w:val="superscript"/>
        </w:rPr>
        <w:footnoteRef/>
      </w:r>
      <w:r>
        <w:rPr>
          <w:sz w:val="16"/>
          <w:szCs w:val="16"/>
        </w:rPr>
        <w:t xml:space="preserve"> </w:t>
      </w:r>
      <w:hyperlink r:id="rId27">
        <w:r w:rsidR="00031725">
          <w:rPr>
            <w:color w:val="1155CC"/>
            <w:sz w:val="16"/>
            <w:szCs w:val="16"/>
            <w:u w:val="single"/>
          </w:rPr>
          <w:t>https://doi.org/10.15497/RDA00031</w:t>
        </w:r>
      </w:hyperlink>
      <w:r>
        <w:rPr>
          <w:sz w:val="16"/>
          <w:szCs w:val="16"/>
        </w:rPr>
        <w:t xml:space="preserve"> </w:t>
      </w:r>
    </w:p>
  </w:footnote>
  <w:footnote w:id="28">
    <w:p w14:paraId="00000831" w14:textId="77777777" w:rsidR="00031725" w:rsidRDefault="00000000">
      <w:pPr>
        <w:spacing w:after="0" w:line="240" w:lineRule="auto"/>
        <w:rPr>
          <w:sz w:val="16"/>
          <w:szCs w:val="16"/>
        </w:rPr>
      </w:pPr>
      <w:r>
        <w:rPr>
          <w:vertAlign w:val="superscript"/>
        </w:rPr>
        <w:footnoteRef/>
      </w:r>
      <w:r>
        <w:rPr>
          <w:sz w:val="16"/>
          <w:szCs w:val="16"/>
        </w:rPr>
        <w:t xml:space="preserve"> </w:t>
      </w:r>
      <w:hyperlink r:id="rId28">
        <w:r w:rsidR="00031725">
          <w:rPr>
            <w:color w:val="1155CC"/>
            <w:sz w:val="16"/>
            <w:szCs w:val="16"/>
            <w:u w:val="single"/>
          </w:rPr>
          <w:t>fair2.ai/spec</w:t>
        </w:r>
      </w:hyperlink>
      <w:r>
        <w:rPr>
          <w:sz w:val="16"/>
          <w:szCs w:val="16"/>
        </w:rPr>
        <w:t xml:space="preserve"> </w:t>
      </w:r>
    </w:p>
  </w:footnote>
  <w:footnote w:id="29">
    <w:p w14:paraId="0000083D" w14:textId="77777777" w:rsidR="00031725" w:rsidRDefault="00000000">
      <w:pPr>
        <w:spacing w:after="0" w:line="240" w:lineRule="auto"/>
        <w:rPr>
          <w:sz w:val="16"/>
          <w:szCs w:val="16"/>
        </w:rPr>
      </w:pPr>
      <w:r>
        <w:rPr>
          <w:vertAlign w:val="superscript"/>
        </w:rPr>
        <w:footnoteRef/>
      </w:r>
      <w:r>
        <w:rPr>
          <w:sz w:val="16"/>
          <w:szCs w:val="16"/>
        </w:rPr>
        <w:t xml:space="preserve"> </w:t>
      </w:r>
      <w:hyperlink r:id="rId29">
        <w:r w:rsidR="00031725">
          <w:rPr>
            <w:color w:val="1155CC"/>
            <w:sz w:val="16"/>
            <w:szCs w:val="16"/>
            <w:u w:val="single"/>
          </w:rPr>
          <w:t>https://rocrate-validator.readthedocs.io/en/stable/</w:t>
        </w:r>
      </w:hyperlink>
      <w:r>
        <w:rPr>
          <w:sz w:val="16"/>
          <w:szCs w:val="16"/>
        </w:rPr>
        <w:t xml:space="preserve"> </w:t>
      </w:r>
    </w:p>
  </w:footnote>
  <w:footnote w:id="30">
    <w:p w14:paraId="0000083E" w14:textId="77777777" w:rsidR="00031725" w:rsidRDefault="00000000">
      <w:pPr>
        <w:spacing w:after="0" w:line="240" w:lineRule="auto"/>
        <w:rPr>
          <w:sz w:val="16"/>
          <w:szCs w:val="16"/>
        </w:rPr>
      </w:pPr>
      <w:r>
        <w:rPr>
          <w:vertAlign w:val="superscript"/>
        </w:rPr>
        <w:footnoteRef/>
      </w:r>
      <w:r>
        <w:rPr>
          <w:sz w:val="16"/>
          <w:szCs w:val="16"/>
        </w:rPr>
        <w:t xml:space="preserve"> </w:t>
      </w:r>
      <w:hyperlink r:id="rId30">
        <w:r w:rsidR="00031725">
          <w:rPr>
            <w:color w:val="1155CC"/>
            <w:sz w:val="16"/>
            <w:szCs w:val="16"/>
            <w:u w:val="single"/>
          </w:rPr>
          <w:t>https://frictionlessdata.io/</w:t>
        </w:r>
      </w:hyperlink>
      <w:r>
        <w:rPr>
          <w:sz w:val="16"/>
          <w:szCs w:val="16"/>
        </w:rPr>
        <w:t xml:space="preserve"> </w:t>
      </w:r>
    </w:p>
  </w:footnote>
  <w:footnote w:id="31">
    <w:p w14:paraId="0000083F" w14:textId="77777777" w:rsidR="00031725" w:rsidRDefault="00000000">
      <w:pPr>
        <w:spacing w:after="0" w:line="240" w:lineRule="auto"/>
        <w:rPr>
          <w:sz w:val="16"/>
          <w:szCs w:val="16"/>
        </w:rPr>
      </w:pPr>
      <w:r>
        <w:rPr>
          <w:vertAlign w:val="superscript"/>
        </w:rPr>
        <w:footnoteRef/>
      </w:r>
      <w:r>
        <w:rPr>
          <w:sz w:val="16"/>
          <w:szCs w:val="16"/>
        </w:rPr>
        <w:t xml:space="preserve"> </w:t>
      </w:r>
      <w:hyperlink r:id="rId31">
        <w:r w:rsidR="00031725">
          <w:rPr>
            <w:color w:val="1155CC"/>
            <w:sz w:val="16"/>
            <w:szCs w:val="16"/>
            <w:u w:val="single"/>
          </w:rPr>
          <w:t>https://json-schema.org/</w:t>
        </w:r>
      </w:hyperlink>
      <w:r>
        <w:rPr>
          <w:sz w:val="16"/>
          <w:szCs w:val="16"/>
        </w:rPr>
        <w:t xml:space="preserve"> </w:t>
      </w:r>
    </w:p>
  </w:footnote>
  <w:footnote w:id="32">
    <w:p w14:paraId="00000840" w14:textId="77777777" w:rsidR="00031725" w:rsidRDefault="00000000">
      <w:pPr>
        <w:spacing w:after="0" w:line="240" w:lineRule="auto"/>
        <w:rPr>
          <w:sz w:val="16"/>
          <w:szCs w:val="16"/>
        </w:rPr>
      </w:pPr>
      <w:r>
        <w:rPr>
          <w:vertAlign w:val="superscript"/>
        </w:rPr>
        <w:footnoteRef/>
      </w:r>
      <w:r>
        <w:rPr>
          <w:sz w:val="16"/>
          <w:szCs w:val="16"/>
        </w:rPr>
        <w:t xml:space="preserve"> </w:t>
      </w:r>
      <w:hyperlink r:id="rId32">
        <w:r w:rsidR="00031725">
          <w:rPr>
            <w:color w:val="1155CC"/>
            <w:sz w:val="16"/>
            <w:szCs w:val="16"/>
            <w:u w:val="single"/>
          </w:rPr>
          <w:t>https://hackolade.com/help/XSDXMLSchemaDefinition.html</w:t>
        </w:r>
      </w:hyperlink>
      <w:r>
        <w:rPr>
          <w:sz w:val="16"/>
          <w:szCs w:val="16"/>
        </w:rPr>
        <w:t xml:space="preserve"> </w:t>
      </w:r>
    </w:p>
  </w:footnote>
  <w:footnote w:id="33">
    <w:p w14:paraId="00000841" w14:textId="77777777" w:rsidR="00031725" w:rsidRDefault="00000000">
      <w:pPr>
        <w:spacing w:after="0" w:line="240" w:lineRule="auto"/>
        <w:rPr>
          <w:sz w:val="16"/>
          <w:szCs w:val="16"/>
        </w:rPr>
      </w:pPr>
      <w:r>
        <w:rPr>
          <w:vertAlign w:val="superscript"/>
        </w:rPr>
        <w:footnoteRef/>
      </w:r>
      <w:r>
        <w:rPr>
          <w:sz w:val="16"/>
          <w:szCs w:val="16"/>
        </w:rPr>
        <w:t xml:space="preserve"> </w:t>
      </w:r>
      <w:hyperlink r:id="rId33">
        <w:r w:rsidR="00031725">
          <w:rPr>
            <w:color w:val="1155CC"/>
            <w:sz w:val="16"/>
            <w:szCs w:val="16"/>
            <w:u w:val="single"/>
          </w:rPr>
          <w:t>https://www.w3.org/TR/shacl/</w:t>
        </w:r>
      </w:hyperlink>
      <w:r>
        <w:rPr>
          <w:sz w:val="16"/>
          <w:szCs w:val="16"/>
        </w:rPr>
        <w:t xml:space="preserve"> </w:t>
      </w:r>
    </w:p>
  </w:footnote>
  <w:footnote w:id="34">
    <w:p w14:paraId="00000842" w14:textId="77777777" w:rsidR="00031725" w:rsidRDefault="00000000">
      <w:pPr>
        <w:spacing w:after="0" w:line="240" w:lineRule="auto"/>
        <w:rPr>
          <w:sz w:val="16"/>
          <w:szCs w:val="16"/>
        </w:rPr>
      </w:pPr>
      <w:r>
        <w:rPr>
          <w:vertAlign w:val="superscript"/>
        </w:rPr>
        <w:footnoteRef/>
      </w:r>
      <w:r>
        <w:rPr>
          <w:sz w:val="16"/>
          <w:szCs w:val="16"/>
        </w:rPr>
        <w:t xml:space="preserve"> </w:t>
      </w:r>
      <w:hyperlink r:id="rId34">
        <w:r w:rsidR="00031725">
          <w:rPr>
            <w:color w:val="1155CC"/>
            <w:sz w:val="16"/>
            <w:szCs w:val="16"/>
            <w:u w:val="single"/>
          </w:rPr>
          <w:t>https://huggingface.co/spaces/luisoala/croissant-checker</w:t>
        </w:r>
      </w:hyperlink>
      <w:r>
        <w:rPr>
          <w:sz w:val="16"/>
          <w:szCs w:val="16"/>
        </w:rPr>
        <w:t xml:space="preserve"> </w:t>
      </w:r>
    </w:p>
  </w:footnote>
  <w:footnote w:id="35">
    <w:p w14:paraId="00000843" w14:textId="77777777" w:rsidR="00031725" w:rsidRDefault="00000000">
      <w:pPr>
        <w:spacing w:after="0" w:line="240" w:lineRule="auto"/>
        <w:rPr>
          <w:sz w:val="16"/>
          <w:szCs w:val="16"/>
        </w:rPr>
      </w:pPr>
      <w:r>
        <w:rPr>
          <w:vertAlign w:val="superscript"/>
        </w:rPr>
        <w:footnoteRef/>
      </w:r>
      <w:r>
        <w:rPr>
          <w:sz w:val="16"/>
          <w:szCs w:val="16"/>
        </w:rPr>
        <w:t xml:space="preserve"> </w:t>
      </w:r>
      <w:hyperlink r:id="rId35">
        <w:r w:rsidR="00031725">
          <w:rPr>
            <w:color w:val="1155CC"/>
            <w:sz w:val="16"/>
            <w:szCs w:val="16"/>
            <w:u w:val="single"/>
          </w:rPr>
          <w:t>https://doi.org/10.1007/978-3-319-68204-4_10</w:t>
        </w:r>
      </w:hyperlink>
      <w:r>
        <w:rPr>
          <w:sz w:val="16"/>
          <w:szCs w:val="16"/>
        </w:rPr>
        <w:t xml:space="preserve"> </w:t>
      </w:r>
    </w:p>
  </w:footnote>
  <w:footnote w:id="36">
    <w:p w14:paraId="00000846" w14:textId="77777777" w:rsidR="00031725" w:rsidRDefault="00000000">
      <w:pPr>
        <w:spacing w:after="0" w:line="240" w:lineRule="auto"/>
        <w:rPr>
          <w:sz w:val="16"/>
          <w:szCs w:val="16"/>
        </w:rPr>
      </w:pPr>
      <w:r>
        <w:rPr>
          <w:vertAlign w:val="superscript"/>
        </w:rPr>
        <w:footnoteRef/>
      </w:r>
      <w:r>
        <w:rPr>
          <w:sz w:val="16"/>
          <w:szCs w:val="16"/>
        </w:rPr>
        <w:t xml:space="preserve"> </w:t>
      </w:r>
      <w:hyperlink r:id="rId36">
        <w:r w:rsidR="00031725">
          <w:rPr>
            <w:color w:val="1155CC"/>
            <w:sz w:val="16"/>
            <w:szCs w:val="16"/>
            <w:u w:val="single"/>
          </w:rPr>
          <w:t>https://ontoportal.org/</w:t>
        </w:r>
      </w:hyperlink>
      <w:r>
        <w:rPr>
          <w:sz w:val="16"/>
          <w:szCs w:val="16"/>
        </w:rPr>
        <w:t xml:space="preserve"> </w:t>
      </w:r>
    </w:p>
  </w:footnote>
  <w:footnote w:id="37">
    <w:p w14:paraId="00000844" w14:textId="77777777" w:rsidR="00031725" w:rsidRDefault="00000000">
      <w:pPr>
        <w:spacing w:after="0" w:line="240" w:lineRule="auto"/>
        <w:rPr>
          <w:sz w:val="16"/>
          <w:szCs w:val="16"/>
        </w:rPr>
      </w:pPr>
      <w:r>
        <w:rPr>
          <w:vertAlign w:val="superscript"/>
        </w:rPr>
        <w:footnoteRef/>
      </w:r>
      <w:r>
        <w:rPr>
          <w:sz w:val="16"/>
          <w:szCs w:val="16"/>
        </w:rPr>
        <w:t xml:space="preserve"> </w:t>
      </w:r>
      <w:hyperlink r:id="rId37">
        <w:r w:rsidR="00031725">
          <w:rPr>
            <w:color w:val="1155CC"/>
            <w:sz w:val="16"/>
            <w:szCs w:val="16"/>
            <w:u w:val="single"/>
          </w:rPr>
          <w:t>https://skosmos.org/</w:t>
        </w:r>
      </w:hyperlink>
      <w:r>
        <w:rPr>
          <w:sz w:val="16"/>
          <w:szCs w:val="16"/>
        </w:rPr>
        <w:t xml:space="preserve"> </w:t>
      </w:r>
    </w:p>
  </w:footnote>
  <w:footnote w:id="38">
    <w:p w14:paraId="00000845" w14:textId="77777777" w:rsidR="00031725" w:rsidRDefault="00000000">
      <w:pPr>
        <w:spacing w:after="0" w:line="240" w:lineRule="auto"/>
        <w:rPr>
          <w:sz w:val="16"/>
          <w:szCs w:val="16"/>
        </w:rPr>
      </w:pPr>
      <w:r>
        <w:rPr>
          <w:vertAlign w:val="superscript"/>
        </w:rPr>
        <w:footnoteRef/>
      </w:r>
      <w:r>
        <w:rPr>
          <w:sz w:val="16"/>
          <w:szCs w:val="16"/>
        </w:rPr>
        <w:t xml:space="preserve"> </w:t>
      </w:r>
      <w:hyperlink r:id="rId38">
        <w:r w:rsidR="00031725">
          <w:rPr>
            <w:color w:val="1155CC"/>
            <w:sz w:val="16"/>
            <w:szCs w:val="16"/>
            <w:u w:val="single"/>
          </w:rPr>
          <w:t>https://catalogue.fair-impact.eu/resources/foops</w:t>
        </w:r>
      </w:hyperlink>
      <w:r>
        <w:rPr>
          <w:sz w:val="16"/>
          <w:szCs w:val="16"/>
        </w:rPr>
        <w:t xml:space="preserve"> </w:t>
      </w:r>
    </w:p>
  </w:footnote>
  <w:footnote w:id="39">
    <w:p w14:paraId="00000847" w14:textId="77777777" w:rsidR="00031725" w:rsidRDefault="00000000">
      <w:pPr>
        <w:spacing w:after="0" w:line="240" w:lineRule="auto"/>
        <w:rPr>
          <w:sz w:val="16"/>
          <w:szCs w:val="16"/>
        </w:rPr>
      </w:pPr>
      <w:r>
        <w:rPr>
          <w:vertAlign w:val="superscript"/>
        </w:rPr>
        <w:footnoteRef/>
      </w:r>
      <w:r>
        <w:rPr>
          <w:sz w:val="16"/>
          <w:szCs w:val="16"/>
        </w:rPr>
        <w:t xml:space="preserve"> </w:t>
      </w:r>
      <w:hyperlink r:id="rId39">
        <w:r w:rsidR="00031725">
          <w:rPr>
            <w:color w:val="1155CC"/>
            <w:sz w:val="16"/>
            <w:szCs w:val="16"/>
            <w:u w:val="single"/>
          </w:rPr>
          <w:t>https://fairassist.org/</w:t>
        </w:r>
      </w:hyperlink>
      <w:r>
        <w:rPr>
          <w:sz w:val="16"/>
          <w:szCs w:val="16"/>
        </w:rPr>
        <w:t xml:space="preserve"> </w:t>
      </w:r>
    </w:p>
  </w:footnote>
  <w:footnote w:id="40">
    <w:p w14:paraId="0000084E" w14:textId="77777777" w:rsidR="00031725" w:rsidRDefault="00000000">
      <w:pPr>
        <w:spacing w:after="0" w:line="240" w:lineRule="auto"/>
        <w:rPr>
          <w:sz w:val="16"/>
          <w:szCs w:val="16"/>
        </w:rPr>
      </w:pPr>
      <w:r>
        <w:rPr>
          <w:vertAlign w:val="superscript"/>
        </w:rPr>
        <w:footnoteRef/>
      </w:r>
      <w:r>
        <w:rPr>
          <w:sz w:val="16"/>
          <w:szCs w:val="16"/>
        </w:rPr>
        <w:t xml:space="preserve"> </w:t>
      </w:r>
      <w:hyperlink r:id="rId40">
        <w:r w:rsidR="00031725">
          <w:rPr>
            <w:color w:val="1155CC"/>
            <w:sz w:val="16"/>
            <w:szCs w:val="16"/>
            <w:u w:val="single"/>
          </w:rPr>
          <w:t>https://fairsharing.org/5742</w:t>
        </w:r>
      </w:hyperlink>
      <w:r>
        <w:rPr>
          <w:sz w:val="16"/>
          <w:szCs w:val="16"/>
        </w:rPr>
        <w:t xml:space="preserve"> </w:t>
      </w:r>
    </w:p>
  </w:footnote>
  <w:footnote w:id="41">
    <w:p w14:paraId="0000084F" w14:textId="77777777" w:rsidR="00031725" w:rsidRDefault="00000000">
      <w:pPr>
        <w:spacing w:after="0" w:line="240" w:lineRule="auto"/>
        <w:rPr>
          <w:sz w:val="16"/>
          <w:szCs w:val="16"/>
        </w:rPr>
      </w:pPr>
      <w:r>
        <w:rPr>
          <w:vertAlign w:val="superscript"/>
        </w:rPr>
        <w:footnoteRef/>
      </w:r>
      <w:r>
        <w:rPr>
          <w:sz w:val="16"/>
          <w:szCs w:val="16"/>
        </w:rPr>
        <w:t xml:space="preserve"> </w:t>
      </w:r>
      <w:hyperlink r:id="rId41">
        <w:r w:rsidR="00031725">
          <w:rPr>
            <w:color w:val="1155CC"/>
            <w:sz w:val="16"/>
            <w:szCs w:val="16"/>
            <w:u w:val="single"/>
          </w:rPr>
          <w:t>https://doi.org/10.1016/j.cels.2019.09.011</w:t>
        </w:r>
      </w:hyperlink>
      <w:r>
        <w:rPr>
          <w:sz w:val="16"/>
          <w:szCs w:val="16"/>
        </w:rPr>
        <w:t xml:space="preserve"> </w:t>
      </w:r>
    </w:p>
  </w:footnote>
  <w:footnote w:id="42">
    <w:p w14:paraId="00000850" w14:textId="77777777" w:rsidR="00031725" w:rsidRDefault="00000000">
      <w:pPr>
        <w:spacing w:after="0" w:line="240" w:lineRule="auto"/>
        <w:rPr>
          <w:sz w:val="16"/>
          <w:szCs w:val="16"/>
        </w:rPr>
      </w:pPr>
      <w:r>
        <w:rPr>
          <w:vertAlign w:val="superscript"/>
        </w:rPr>
        <w:footnoteRef/>
      </w:r>
      <w:r>
        <w:rPr>
          <w:sz w:val="16"/>
          <w:szCs w:val="16"/>
        </w:rPr>
        <w:t xml:space="preserve"> </w:t>
      </w:r>
      <w:hyperlink r:id="rId42">
        <w:r w:rsidR="00031725">
          <w:rPr>
            <w:color w:val="1155CC"/>
            <w:sz w:val="16"/>
            <w:szCs w:val="16"/>
            <w:u w:val="single"/>
          </w:rPr>
          <w:t>https://www.f-uji.net/</w:t>
        </w:r>
      </w:hyperlink>
      <w:r>
        <w:rPr>
          <w:sz w:val="16"/>
          <w:szCs w:val="16"/>
        </w:rPr>
        <w:t xml:space="preserve"> </w:t>
      </w:r>
    </w:p>
  </w:footnote>
  <w:footnote w:id="43">
    <w:p w14:paraId="00000833" w14:textId="77777777" w:rsidR="00031725" w:rsidRDefault="00000000">
      <w:pPr>
        <w:spacing w:after="0" w:line="240" w:lineRule="auto"/>
        <w:rPr>
          <w:sz w:val="16"/>
          <w:szCs w:val="16"/>
        </w:rPr>
      </w:pPr>
      <w:r>
        <w:rPr>
          <w:vertAlign w:val="superscript"/>
        </w:rPr>
        <w:footnoteRef/>
      </w:r>
      <w:r>
        <w:rPr>
          <w:sz w:val="16"/>
          <w:szCs w:val="16"/>
        </w:rPr>
        <w:t xml:space="preserve"> </w:t>
      </w:r>
      <w:hyperlink r:id="rId43">
        <w:r w:rsidR="00031725">
          <w:rPr>
            <w:color w:val="1155CC"/>
            <w:sz w:val="16"/>
            <w:szCs w:val="16"/>
            <w:u w:val="single"/>
          </w:rPr>
          <w:t>https://fairdo.org/</w:t>
        </w:r>
      </w:hyperlink>
      <w:r>
        <w:rPr>
          <w:sz w:val="16"/>
          <w:szCs w:val="16"/>
        </w:rPr>
        <w:t xml:space="preserve"> </w:t>
      </w:r>
    </w:p>
  </w:footnote>
  <w:footnote w:id="44">
    <w:p w14:paraId="00000834" w14:textId="77777777" w:rsidR="00031725" w:rsidRDefault="00000000">
      <w:pPr>
        <w:spacing w:after="0" w:line="240" w:lineRule="auto"/>
        <w:rPr>
          <w:sz w:val="16"/>
          <w:szCs w:val="16"/>
        </w:rPr>
      </w:pPr>
      <w:r>
        <w:rPr>
          <w:vertAlign w:val="superscript"/>
        </w:rPr>
        <w:footnoteRef/>
      </w:r>
      <w:r>
        <w:rPr>
          <w:sz w:val="16"/>
          <w:szCs w:val="16"/>
        </w:rPr>
        <w:t xml:space="preserve"> </w:t>
      </w:r>
      <w:hyperlink r:id="rId44">
        <w:r w:rsidR="00031725">
          <w:rPr>
            <w:color w:val="1155CC"/>
            <w:sz w:val="16"/>
            <w:szCs w:val="16"/>
            <w:u w:val="single"/>
          </w:rPr>
          <w:t>https://worldfair-project.eu/cross-domain-interoperability-framework/</w:t>
        </w:r>
      </w:hyperlink>
      <w:r>
        <w:rPr>
          <w:sz w:val="16"/>
          <w:szCs w:val="16"/>
        </w:rPr>
        <w:t xml:space="preserve"> </w:t>
      </w:r>
    </w:p>
  </w:footnote>
  <w:footnote w:id="45">
    <w:p w14:paraId="00000838" w14:textId="77777777" w:rsidR="00031725" w:rsidRDefault="00000000">
      <w:pPr>
        <w:spacing w:after="0" w:line="240" w:lineRule="auto"/>
        <w:rPr>
          <w:sz w:val="16"/>
          <w:szCs w:val="16"/>
        </w:rPr>
      </w:pPr>
      <w:r>
        <w:rPr>
          <w:vertAlign w:val="superscript"/>
        </w:rPr>
        <w:footnoteRef/>
      </w:r>
      <w:r>
        <w:rPr>
          <w:sz w:val="16"/>
          <w:szCs w:val="16"/>
        </w:rPr>
        <w:t xml:space="preserve"> </w:t>
      </w:r>
      <w:hyperlink r:id="rId45">
        <w:r w:rsidR="00031725">
          <w:rPr>
            <w:color w:val="1155CC"/>
            <w:sz w:val="16"/>
            <w:szCs w:val="16"/>
            <w:u w:val="single"/>
          </w:rPr>
          <w:t>https://datacite.org/</w:t>
        </w:r>
      </w:hyperlink>
      <w:r>
        <w:rPr>
          <w:sz w:val="16"/>
          <w:szCs w:val="16"/>
        </w:rPr>
        <w:t xml:space="preserve"> </w:t>
      </w:r>
    </w:p>
  </w:footnote>
  <w:footnote w:id="46">
    <w:p w14:paraId="00000866" w14:textId="77777777" w:rsidR="00031725" w:rsidRDefault="00000000">
      <w:pPr>
        <w:spacing w:after="0" w:line="240" w:lineRule="auto"/>
        <w:rPr>
          <w:sz w:val="16"/>
          <w:szCs w:val="16"/>
        </w:rPr>
      </w:pPr>
      <w:r>
        <w:rPr>
          <w:vertAlign w:val="superscript"/>
        </w:rPr>
        <w:footnoteRef/>
      </w:r>
      <w:r>
        <w:rPr>
          <w:sz w:val="16"/>
          <w:szCs w:val="16"/>
        </w:rPr>
        <w:t xml:space="preserve"> </w:t>
      </w:r>
      <w:hyperlink r:id="rId46">
        <w:r w:rsidR="00031725">
          <w:rPr>
            <w:color w:val="1155CC"/>
            <w:sz w:val="16"/>
            <w:szCs w:val="16"/>
            <w:u w:val="single"/>
          </w:rPr>
          <w:t>https://fairsharing.org/search?fairsharingRegistry=Standard&amp;recordType=identifier_schema&amp;page=1</w:t>
        </w:r>
      </w:hyperlink>
      <w:r>
        <w:rPr>
          <w:sz w:val="16"/>
          <w:szCs w:val="16"/>
        </w:rPr>
        <w:t xml:space="preserve"> </w:t>
      </w:r>
    </w:p>
  </w:footnote>
  <w:footnote w:id="47">
    <w:p w14:paraId="00000867" w14:textId="77777777" w:rsidR="00031725" w:rsidRDefault="00000000">
      <w:pPr>
        <w:spacing w:after="0" w:line="240" w:lineRule="auto"/>
        <w:rPr>
          <w:sz w:val="18"/>
          <w:szCs w:val="18"/>
        </w:rPr>
      </w:pPr>
      <w:r>
        <w:rPr>
          <w:vertAlign w:val="superscript"/>
        </w:rPr>
        <w:footnoteRef/>
      </w:r>
      <w:r>
        <w:rPr>
          <w:sz w:val="20"/>
          <w:szCs w:val="20"/>
        </w:rPr>
        <w:t xml:space="preserve"> </w:t>
      </w:r>
      <w:hyperlink r:id="rId47">
        <w:r w:rsidR="00031725">
          <w:rPr>
            <w:color w:val="1155CC"/>
            <w:sz w:val="16"/>
            <w:szCs w:val="16"/>
            <w:u w:val="single"/>
          </w:rPr>
          <w:t>https://fairsharing.gitbook.io/fairsharing/record-sections-and-fields/general-information/globally-unique-persistent-and-resolvable-identifier-schemas</w:t>
        </w:r>
      </w:hyperlink>
      <w:r>
        <w:rPr>
          <w:sz w:val="16"/>
          <w:szCs w:val="16"/>
        </w:rPr>
        <w:t xml:space="preserve"> </w:t>
      </w:r>
    </w:p>
  </w:footnote>
  <w:footnote w:id="48">
    <w:p w14:paraId="00000828" w14:textId="77777777" w:rsidR="00031725" w:rsidRDefault="00000000">
      <w:pPr>
        <w:spacing w:after="0" w:line="240" w:lineRule="auto"/>
        <w:rPr>
          <w:sz w:val="16"/>
          <w:szCs w:val="16"/>
        </w:rPr>
      </w:pPr>
      <w:r>
        <w:rPr>
          <w:vertAlign w:val="superscript"/>
        </w:rPr>
        <w:footnoteRef/>
      </w:r>
      <w:r>
        <w:rPr>
          <w:sz w:val="20"/>
          <w:szCs w:val="20"/>
        </w:rPr>
        <w:t xml:space="preserve"> </w:t>
      </w:r>
      <w:hyperlink r:id="rId48">
        <w:r w:rsidR="00031725">
          <w:rPr>
            <w:color w:val="1155CC"/>
            <w:sz w:val="16"/>
            <w:szCs w:val="16"/>
            <w:u w:val="single"/>
          </w:rPr>
          <w:t>https://ds-wizard.org/</w:t>
        </w:r>
      </w:hyperlink>
      <w:r>
        <w:rPr>
          <w:sz w:val="16"/>
          <w:szCs w:val="16"/>
        </w:rPr>
        <w:t xml:space="preserve"> </w:t>
      </w:r>
    </w:p>
  </w:footnote>
  <w:footnote w:id="49">
    <w:p w14:paraId="00000829" w14:textId="77777777" w:rsidR="00031725" w:rsidRDefault="00000000">
      <w:pPr>
        <w:spacing w:after="0" w:line="240" w:lineRule="auto"/>
        <w:rPr>
          <w:sz w:val="16"/>
          <w:szCs w:val="16"/>
        </w:rPr>
      </w:pPr>
      <w:r>
        <w:rPr>
          <w:vertAlign w:val="superscript"/>
        </w:rPr>
        <w:footnoteRef/>
      </w:r>
      <w:r>
        <w:rPr>
          <w:sz w:val="16"/>
          <w:szCs w:val="16"/>
        </w:rPr>
        <w:t xml:space="preserve"> </w:t>
      </w:r>
      <w:hyperlink r:id="rId49">
        <w:r w:rsidR="00031725">
          <w:rPr>
            <w:color w:val="1155CC"/>
            <w:sz w:val="16"/>
            <w:szCs w:val="16"/>
            <w:u w:val="single"/>
          </w:rPr>
          <w:t>https://argos.openaire.eu/home</w:t>
        </w:r>
      </w:hyperlink>
      <w:r>
        <w:rPr>
          <w:sz w:val="16"/>
          <w:szCs w:val="16"/>
        </w:rPr>
        <w:t xml:space="preserve"> </w:t>
      </w:r>
    </w:p>
  </w:footnote>
  <w:footnote w:id="50">
    <w:p w14:paraId="0000082A" w14:textId="77777777" w:rsidR="00031725" w:rsidRDefault="00000000">
      <w:pPr>
        <w:spacing w:after="0" w:line="240" w:lineRule="auto"/>
        <w:rPr>
          <w:sz w:val="16"/>
          <w:szCs w:val="16"/>
        </w:rPr>
      </w:pPr>
      <w:r>
        <w:rPr>
          <w:vertAlign w:val="superscript"/>
        </w:rPr>
        <w:footnoteRef/>
      </w:r>
      <w:r>
        <w:rPr>
          <w:sz w:val="16"/>
          <w:szCs w:val="16"/>
        </w:rPr>
        <w:t xml:space="preserve"> </w:t>
      </w:r>
      <w:hyperlink r:id="rId50">
        <w:r w:rsidR="00031725">
          <w:rPr>
            <w:color w:val="1155CC"/>
            <w:sz w:val="16"/>
            <w:szCs w:val="16"/>
            <w:u w:val="single"/>
          </w:rPr>
          <w:t>https://damap.org/</w:t>
        </w:r>
      </w:hyperlink>
      <w:r>
        <w:rPr>
          <w:sz w:val="16"/>
          <w:szCs w:val="16"/>
        </w:rPr>
        <w:t xml:space="preserve"> </w:t>
      </w:r>
    </w:p>
  </w:footnote>
  <w:footnote w:id="51">
    <w:p w14:paraId="00000827" w14:textId="77777777" w:rsidR="00031725" w:rsidRDefault="00000000">
      <w:pPr>
        <w:spacing w:after="0" w:line="240" w:lineRule="auto"/>
        <w:rPr>
          <w:sz w:val="12"/>
          <w:szCs w:val="12"/>
        </w:rPr>
      </w:pPr>
      <w:r>
        <w:rPr>
          <w:vertAlign w:val="superscript"/>
        </w:rPr>
        <w:footnoteRef/>
      </w:r>
      <w:r>
        <w:rPr>
          <w:sz w:val="20"/>
          <w:szCs w:val="20"/>
        </w:rPr>
        <w:t xml:space="preserve"> </w:t>
      </w:r>
      <w:hyperlink r:id="rId51">
        <w:r w:rsidR="00031725">
          <w:rPr>
            <w:color w:val="1155CC"/>
            <w:sz w:val="16"/>
            <w:szCs w:val="16"/>
            <w:u w:val="single"/>
          </w:rPr>
          <w:t>https://www.rd-alliance.org/groups/common-application-programming-interface-api-for-machine-actionable-data-management-plans-madmps/activity/</w:t>
        </w:r>
      </w:hyperlink>
      <w:r>
        <w:rPr>
          <w:sz w:val="16"/>
          <w:szCs w:val="16"/>
        </w:rPr>
        <w:t xml:space="preserve"> </w:t>
      </w:r>
    </w:p>
  </w:footnote>
  <w:footnote w:id="52">
    <w:p w14:paraId="00000839" w14:textId="77777777" w:rsidR="00031725" w:rsidRDefault="00000000">
      <w:pPr>
        <w:spacing w:after="0" w:line="240" w:lineRule="auto"/>
        <w:rPr>
          <w:sz w:val="16"/>
          <w:szCs w:val="16"/>
        </w:rPr>
      </w:pPr>
      <w:r>
        <w:rPr>
          <w:vertAlign w:val="superscript"/>
        </w:rPr>
        <w:footnoteRef/>
      </w:r>
      <w:r>
        <w:rPr>
          <w:sz w:val="16"/>
          <w:szCs w:val="16"/>
        </w:rPr>
        <w:t xml:space="preserve"> </w:t>
      </w:r>
      <w:hyperlink r:id="rId52">
        <w:r w:rsidR="00031725">
          <w:rPr>
            <w:color w:val="1155CC"/>
            <w:sz w:val="16"/>
            <w:szCs w:val="16"/>
            <w:u w:val="single"/>
          </w:rPr>
          <w:t>https://www.cometadata.org/</w:t>
        </w:r>
      </w:hyperlink>
      <w:r>
        <w:rPr>
          <w:sz w:val="16"/>
          <w:szCs w:val="16"/>
        </w:rPr>
        <w:t xml:space="preserve"> </w:t>
      </w:r>
    </w:p>
  </w:footnote>
  <w:footnote w:id="53">
    <w:p w14:paraId="0000083A" w14:textId="77777777" w:rsidR="00031725" w:rsidRDefault="00000000">
      <w:pPr>
        <w:spacing w:after="0" w:line="240" w:lineRule="auto"/>
        <w:rPr>
          <w:sz w:val="16"/>
          <w:szCs w:val="16"/>
        </w:rPr>
      </w:pPr>
      <w:r>
        <w:rPr>
          <w:vertAlign w:val="superscript"/>
        </w:rPr>
        <w:footnoteRef/>
      </w:r>
      <w:r>
        <w:rPr>
          <w:sz w:val="16"/>
          <w:szCs w:val="16"/>
        </w:rPr>
        <w:t xml:space="preserve"> </w:t>
      </w:r>
      <w:hyperlink r:id="rId53">
        <w:r w:rsidR="00031725">
          <w:rPr>
            <w:color w:val="1155CC"/>
            <w:sz w:val="16"/>
            <w:szCs w:val="16"/>
            <w:u w:val="single"/>
          </w:rPr>
          <w:t>https://www.w3.org/TR/prov-o/</w:t>
        </w:r>
      </w:hyperlink>
      <w:r>
        <w:rPr>
          <w:sz w:val="16"/>
          <w:szCs w:val="16"/>
        </w:rPr>
        <w:t xml:space="preserve"> </w:t>
      </w:r>
    </w:p>
  </w:footnote>
  <w:footnote w:id="54">
    <w:p w14:paraId="00000851" w14:textId="77777777" w:rsidR="00031725" w:rsidRDefault="00000000">
      <w:pPr>
        <w:spacing w:after="0" w:line="240" w:lineRule="auto"/>
        <w:rPr>
          <w:sz w:val="16"/>
          <w:szCs w:val="16"/>
        </w:rPr>
      </w:pPr>
      <w:r>
        <w:rPr>
          <w:vertAlign w:val="superscript"/>
        </w:rPr>
        <w:footnoteRef/>
      </w:r>
      <w:r>
        <w:rPr>
          <w:sz w:val="16"/>
          <w:szCs w:val="16"/>
        </w:rPr>
        <w:t xml:space="preserve"> </w:t>
      </w:r>
      <w:hyperlink r:id="rId54">
        <w:r w:rsidR="00031725">
          <w:rPr>
            <w:color w:val="1155CC"/>
            <w:sz w:val="14"/>
            <w:szCs w:val="14"/>
            <w:u w:val="single"/>
          </w:rPr>
          <w:t>doi.org/10.1109/eScience65000.2025.00093</w:t>
        </w:r>
      </w:hyperlink>
      <w:r>
        <w:rPr>
          <w:sz w:val="14"/>
          <w:szCs w:val="14"/>
        </w:rPr>
        <w:t xml:space="preserve">  </w:t>
      </w:r>
    </w:p>
  </w:footnote>
  <w:footnote w:id="55">
    <w:p w14:paraId="0000085E" w14:textId="77777777" w:rsidR="00031725" w:rsidRDefault="00000000">
      <w:pPr>
        <w:spacing w:after="0" w:line="240" w:lineRule="auto"/>
        <w:rPr>
          <w:sz w:val="16"/>
          <w:szCs w:val="16"/>
        </w:rPr>
      </w:pPr>
      <w:r>
        <w:rPr>
          <w:vertAlign w:val="superscript"/>
        </w:rPr>
        <w:footnoteRef/>
      </w:r>
      <w:r>
        <w:rPr>
          <w:sz w:val="16"/>
          <w:szCs w:val="16"/>
        </w:rPr>
        <w:t xml:space="preserve"> </w:t>
      </w:r>
      <w:hyperlink r:id="rId55">
        <w:r w:rsidR="00031725">
          <w:rPr>
            <w:color w:val="1155CC"/>
            <w:sz w:val="16"/>
            <w:szCs w:val="16"/>
            <w:u w:val="single"/>
          </w:rPr>
          <w:t>https://github.com/HPCI-Lab/yProv</w:t>
        </w:r>
      </w:hyperlink>
      <w:r>
        <w:rPr>
          <w:sz w:val="16"/>
          <w:szCs w:val="16"/>
        </w:rPr>
        <w:t xml:space="preserve"> </w:t>
      </w:r>
    </w:p>
  </w:footnote>
  <w:footnote w:id="56">
    <w:p w14:paraId="0000083B" w14:textId="77777777" w:rsidR="00031725" w:rsidRDefault="00000000">
      <w:pPr>
        <w:spacing w:after="0" w:line="240" w:lineRule="auto"/>
        <w:rPr>
          <w:sz w:val="16"/>
          <w:szCs w:val="16"/>
        </w:rPr>
      </w:pPr>
      <w:r>
        <w:rPr>
          <w:vertAlign w:val="superscript"/>
        </w:rPr>
        <w:footnoteRef/>
      </w:r>
      <w:r>
        <w:rPr>
          <w:sz w:val="16"/>
          <w:szCs w:val="16"/>
        </w:rPr>
        <w:t xml:space="preserve"> </w:t>
      </w:r>
      <w:hyperlink r:id="rId56">
        <w:r w:rsidR="00031725">
          <w:rPr>
            <w:color w:val="1155CC"/>
            <w:sz w:val="16"/>
            <w:szCs w:val="16"/>
            <w:u w:val="single"/>
          </w:rPr>
          <w:t>https://orcid.org/</w:t>
        </w:r>
      </w:hyperlink>
      <w:r>
        <w:rPr>
          <w:sz w:val="16"/>
          <w:szCs w:val="16"/>
        </w:rPr>
        <w:t xml:space="preserve">  </w:t>
      </w:r>
    </w:p>
  </w:footnote>
  <w:footnote w:id="57">
    <w:p w14:paraId="0000083C" w14:textId="77777777" w:rsidR="00031725" w:rsidRDefault="00000000">
      <w:pPr>
        <w:spacing w:after="0" w:line="240" w:lineRule="auto"/>
        <w:rPr>
          <w:sz w:val="16"/>
          <w:szCs w:val="16"/>
        </w:rPr>
      </w:pPr>
      <w:r>
        <w:rPr>
          <w:vertAlign w:val="superscript"/>
        </w:rPr>
        <w:footnoteRef/>
      </w:r>
      <w:r>
        <w:rPr>
          <w:sz w:val="16"/>
          <w:szCs w:val="16"/>
        </w:rPr>
        <w:t xml:space="preserve"> </w:t>
      </w:r>
      <w:hyperlink r:id="rId57">
        <w:r w:rsidR="00031725">
          <w:rPr>
            <w:color w:val="1155CC"/>
            <w:sz w:val="16"/>
            <w:szCs w:val="16"/>
            <w:u w:val="single"/>
          </w:rPr>
          <w:t>https://ror.org/</w:t>
        </w:r>
      </w:hyperlink>
      <w:r>
        <w:rPr>
          <w:sz w:val="16"/>
          <w:szCs w:val="16"/>
        </w:rPr>
        <w:t xml:space="preserve"> </w:t>
      </w:r>
    </w:p>
  </w:footnote>
  <w:footnote w:id="58">
    <w:p w14:paraId="00000852" w14:textId="77777777" w:rsidR="00031725" w:rsidRDefault="00000000">
      <w:pPr>
        <w:spacing w:after="0" w:line="240" w:lineRule="auto"/>
        <w:rPr>
          <w:sz w:val="16"/>
          <w:szCs w:val="16"/>
        </w:rPr>
      </w:pPr>
      <w:r>
        <w:rPr>
          <w:vertAlign w:val="superscript"/>
        </w:rPr>
        <w:footnoteRef/>
      </w:r>
      <w:r>
        <w:rPr>
          <w:sz w:val="16"/>
          <w:szCs w:val="16"/>
        </w:rPr>
        <w:t xml:space="preserve"> </w:t>
      </w:r>
      <w:hyperlink r:id="rId58">
        <w:r w:rsidR="00031725">
          <w:rPr>
            <w:color w:val="1155CC"/>
            <w:sz w:val="16"/>
            <w:szCs w:val="16"/>
            <w:u w:val="single"/>
          </w:rPr>
          <w:t>cyber.gov.au/business-government/secure-design/artificial-intelligence/careful-adoption-of-agentic-ai-services</w:t>
        </w:r>
      </w:hyperlink>
      <w:r>
        <w:rPr>
          <w:sz w:val="16"/>
          <w:szCs w:val="16"/>
        </w:rPr>
        <w:t xml:space="preserve">   </w:t>
      </w:r>
    </w:p>
  </w:footnote>
  <w:footnote w:id="59">
    <w:p w14:paraId="6728B923" w14:textId="47ABE9E0" w:rsidR="00555B08" w:rsidRDefault="00555B08">
      <w:pPr>
        <w:pStyle w:val="FootnoteText"/>
      </w:pPr>
      <w:r>
        <w:rPr>
          <w:rStyle w:val="FootnoteReference"/>
        </w:rPr>
        <w:footnoteRef/>
      </w:r>
      <w:r>
        <w:t xml:space="preserve"> </w:t>
      </w:r>
      <w:hyperlink r:id="rId59" w:history="1">
        <w:r w:rsidRPr="00555B08">
          <w:rPr>
            <w:rStyle w:val="Hyperlink"/>
            <w:sz w:val="16"/>
            <w:szCs w:val="16"/>
          </w:rPr>
          <w:t>https://miro.com/app/board/uXjVHXDM1Ig=/?share_link_id=139484060485</w:t>
        </w:r>
      </w:hyperlink>
      <w:r>
        <w:t xml:space="preserve"> </w:t>
      </w:r>
    </w:p>
  </w:footnote>
  <w:footnote w:id="60">
    <w:p w14:paraId="00000869" w14:textId="77777777" w:rsidR="00031725" w:rsidRDefault="00000000">
      <w:pPr>
        <w:spacing w:after="0" w:line="240" w:lineRule="auto"/>
        <w:rPr>
          <w:sz w:val="16"/>
          <w:szCs w:val="16"/>
        </w:rPr>
      </w:pPr>
      <w:r>
        <w:rPr>
          <w:vertAlign w:val="superscript"/>
        </w:rPr>
        <w:footnoteRef/>
      </w:r>
      <w:r>
        <w:rPr>
          <w:sz w:val="16"/>
          <w:szCs w:val="16"/>
        </w:rPr>
        <w:t xml:space="preserve"> </w:t>
      </w:r>
      <w:hyperlink r:id="rId60">
        <w:r w:rsidR="00031725">
          <w:rPr>
            <w:color w:val="1155CC"/>
            <w:sz w:val="16"/>
            <w:szCs w:val="16"/>
            <w:u w:val="single"/>
          </w:rPr>
          <w:t>https://www.go-fair.org/how-to-go-fair/fair-implementation-profile/</w:t>
        </w:r>
      </w:hyperlink>
      <w:r>
        <w:rPr>
          <w:sz w:val="16"/>
          <w:szCs w:val="16"/>
        </w:rPr>
        <w:t xml:space="preserve"> </w:t>
      </w:r>
    </w:p>
  </w:footnote>
  <w:footnote w:id="61">
    <w:p w14:paraId="00000859" w14:textId="77777777" w:rsidR="00031725" w:rsidRDefault="00000000">
      <w:pPr>
        <w:spacing w:after="0" w:line="240" w:lineRule="auto"/>
        <w:rPr>
          <w:sz w:val="16"/>
          <w:szCs w:val="16"/>
        </w:rPr>
      </w:pPr>
      <w:r>
        <w:rPr>
          <w:vertAlign w:val="superscript"/>
        </w:rPr>
        <w:footnoteRef/>
      </w:r>
      <w:r>
        <w:rPr>
          <w:sz w:val="16"/>
          <w:szCs w:val="16"/>
        </w:rPr>
        <w:t xml:space="preserve"> </w:t>
      </w:r>
      <w:hyperlink r:id="rId61">
        <w:r w:rsidR="00031725">
          <w:rPr>
            <w:color w:val="1155CC"/>
            <w:sz w:val="16"/>
            <w:szCs w:val="16"/>
            <w:u w:val="single"/>
          </w:rPr>
          <w:t>https://learn.microsoft.com./en-gb/</w:t>
        </w:r>
      </w:hyperlink>
      <w:r>
        <w:rPr>
          <w:sz w:val="16"/>
          <w:szCs w:val="16"/>
        </w:rPr>
        <w:t xml:space="preserve"> </w:t>
      </w:r>
    </w:p>
  </w:footnote>
  <w:footnote w:id="62">
    <w:p w14:paraId="00000853" w14:textId="77777777" w:rsidR="00031725" w:rsidRDefault="00000000">
      <w:pPr>
        <w:spacing w:after="0" w:line="240" w:lineRule="auto"/>
        <w:rPr>
          <w:sz w:val="16"/>
          <w:szCs w:val="16"/>
        </w:rPr>
      </w:pPr>
      <w:r>
        <w:rPr>
          <w:vertAlign w:val="superscript"/>
        </w:rPr>
        <w:footnoteRef/>
      </w:r>
      <w:r>
        <w:rPr>
          <w:sz w:val="16"/>
          <w:szCs w:val="16"/>
        </w:rPr>
        <w:t xml:space="preserve"> </w:t>
      </w:r>
      <w:hyperlink r:id="rId62">
        <w:r w:rsidR="00031725">
          <w:rPr>
            <w:color w:val="1155CC"/>
            <w:sz w:val="16"/>
            <w:szCs w:val="16"/>
            <w:u w:val="single"/>
          </w:rPr>
          <w:t>https://github.com/ResearchDataAlliance</w:t>
        </w:r>
      </w:hyperlink>
      <w:r>
        <w:rPr>
          <w:sz w:val="16"/>
          <w:szCs w:val="16"/>
        </w:rPr>
        <w:t xml:space="preserve"> </w:t>
      </w:r>
    </w:p>
  </w:footnote>
  <w:footnote w:id="63">
    <w:p w14:paraId="00000854" w14:textId="77777777" w:rsidR="00031725" w:rsidRDefault="00000000">
      <w:pPr>
        <w:spacing w:after="0" w:line="240" w:lineRule="auto"/>
        <w:rPr>
          <w:sz w:val="16"/>
          <w:szCs w:val="16"/>
        </w:rPr>
      </w:pPr>
      <w:r>
        <w:rPr>
          <w:vertAlign w:val="superscript"/>
        </w:rPr>
        <w:footnoteRef/>
      </w:r>
      <w:r>
        <w:rPr>
          <w:sz w:val="16"/>
          <w:szCs w:val="16"/>
        </w:rPr>
        <w:t xml:space="preserve"> </w:t>
      </w:r>
      <w:hyperlink r:id="rId63">
        <w:r w:rsidR="00031725">
          <w:rPr>
            <w:color w:val="1155CC"/>
            <w:sz w:val="16"/>
            <w:szCs w:val="16"/>
            <w:u w:val="single"/>
          </w:rPr>
          <w:t>https://zenodo.org/</w:t>
        </w:r>
      </w:hyperlink>
      <w:r>
        <w:rPr>
          <w:sz w:val="16"/>
          <w:szCs w:val="16"/>
        </w:rPr>
        <w:t xml:space="preserve"> </w:t>
      </w:r>
    </w:p>
  </w:footnote>
  <w:footnote w:id="64">
    <w:p w14:paraId="00000855" w14:textId="77777777" w:rsidR="00031725" w:rsidRDefault="00000000">
      <w:pPr>
        <w:spacing w:after="0" w:line="240" w:lineRule="auto"/>
        <w:rPr>
          <w:sz w:val="16"/>
          <w:szCs w:val="16"/>
        </w:rPr>
      </w:pPr>
      <w:r>
        <w:rPr>
          <w:vertAlign w:val="superscript"/>
        </w:rPr>
        <w:footnoteRef/>
      </w:r>
      <w:r>
        <w:rPr>
          <w:sz w:val="16"/>
          <w:szCs w:val="16"/>
        </w:rPr>
        <w:t xml:space="preserve"> </w:t>
      </w:r>
      <w:hyperlink r:id="rId64">
        <w:r w:rsidR="00031725">
          <w:rPr>
            <w:color w:val="1155CC"/>
            <w:sz w:val="16"/>
            <w:szCs w:val="16"/>
            <w:u w:val="single"/>
          </w:rPr>
          <w:t>https://link.springer.com/</w:t>
        </w:r>
      </w:hyperlink>
      <w:r>
        <w:rPr>
          <w:sz w:val="16"/>
          <w:szCs w:val="16"/>
        </w:rPr>
        <w:t xml:space="preserve"> </w:t>
      </w:r>
    </w:p>
  </w:footnote>
  <w:footnote w:id="65">
    <w:p w14:paraId="00000856" w14:textId="77777777" w:rsidR="00031725" w:rsidRDefault="00000000">
      <w:pPr>
        <w:spacing w:after="0" w:line="240" w:lineRule="auto"/>
        <w:rPr>
          <w:sz w:val="16"/>
          <w:szCs w:val="16"/>
        </w:rPr>
      </w:pPr>
      <w:r>
        <w:rPr>
          <w:vertAlign w:val="superscript"/>
        </w:rPr>
        <w:footnoteRef/>
      </w:r>
      <w:r>
        <w:rPr>
          <w:sz w:val="16"/>
          <w:szCs w:val="16"/>
        </w:rPr>
        <w:t xml:space="preserve"> </w:t>
      </w:r>
      <w:hyperlink r:id="rId65">
        <w:r w:rsidR="00031725">
          <w:rPr>
            <w:color w:val="1155CC"/>
            <w:sz w:val="16"/>
            <w:szCs w:val="16"/>
            <w:u w:val="single"/>
          </w:rPr>
          <w:t>https://www.elsevier.com/en-gb</w:t>
        </w:r>
      </w:hyperlink>
      <w:r>
        <w:rPr>
          <w:sz w:val="16"/>
          <w:szCs w:val="16"/>
        </w:rPr>
        <w:t xml:space="preserve"> </w:t>
      </w:r>
    </w:p>
  </w:footnote>
  <w:footnote w:id="66">
    <w:p w14:paraId="00000857" w14:textId="77777777" w:rsidR="00031725" w:rsidRDefault="00000000">
      <w:pPr>
        <w:spacing w:after="0" w:line="240" w:lineRule="auto"/>
        <w:rPr>
          <w:sz w:val="16"/>
          <w:szCs w:val="16"/>
        </w:rPr>
      </w:pPr>
      <w:r>
        <w:rPr>
          <w:vertAlign w:val="superscript"/>
        </w:rPr>
        <w:footnoteRef/>
      </w:r>
      <w:r>
        <w:rPr>
          <w:sz w:val="16"/>
          <w:szCs w:val="16"/>
        </w:rPr>
        <w:t xml:space="preserve"> </w:t>
      </w:r>
      <w:hyperlink r:id="rId66">
        <w:r w:rsidR="00031725">
          <w:rPr>
            <w:color w:val="1155CC"/>
            <w:sz w:val="16"/>
            <w:szCs w:val="16"/>
            <w:u w:val="single"/>
          </w:rPr>
          <w:t>https://www.mdpi.com/</w:t>
        </w:r>
      </w:hyperlink>
      <w:r>
        <w:rPr>
          <w:sz w:val="16"/>
          <w:szCs w:val="16"/>
        </w:rPr>
        <w:t xml:space="preserve"> </w:t>
      </w:r>
    </w:p>
  </w:footnote>
  <w:footnote w:id="67">
    <w:p w14:paraId="00000858" w14:textId="77777777" w:rsidR="00031725" w:rsidRDefault="00000000">
      <w:pPr>
        <w:spacing w:after="0" w:line="240" w:lineRule="auto"/>
        <w:rPr>
          <w:sz w:val="16"/>
          <w:szCs w:val="16"/>
        </w:rPr>
      </w:pPr>
      <w:r>
        <w:rPr>
          <w:vertAlign w:val="superscript"/>
        </w:rPr>
        <w:footnoteRef/>
      </w:r>
      <w:r>
        <w:rPr>
          <w:sz w:val="16"/>
          <w:szCs w:val="16"/>
        </w:rPr>
        <w:t xml:space="preserve"> </w:t>
      </w:r>
      <w:hyperlink r:id="rId67">
        <w:r w:rsidR="00031725">
          <w:rPr>
            <w:color w:val="1155CC"/>
            <w:sz w:val="16"/>
            <w:szCs w:val="16"/>
            <w:u w:val="single"/>
          </w:rPr>
          <w:t>https://www.w3.org/</w:t>
        </w:r>
      </w:hyperlink>
      <w:r>
        <w:rPr>
          <w:sz w:val="16"/>
          <w:szCs w:val="16"/>
        </w:rPr>
        <w:t xml:space="preserve"> </w:t>
      </w:r>
    </w:p>
  </w:footnote>
  <w:footnote w:id="68">
    <w:p w14:paraId="0000086A" w14:textId="77777777" w:rsidR="00031725" w:rsidRDefault="00000000">
      <w:pPr>
        <w:spacing w:after="0" w:line="240" w:lineRule="auto"/>
        <w:rPr>
          <w:sz w:val="18"/>
          <w:szCs w:val="18"/>
        </w:rPr>
      </w:pPr>
      <w:r>
        <w:rPr>
          <w:vertAlign w:val="superscript"/>
        </w:rPr>
        <w:footnoteRef/>
      </w:r>
      <w:r>
        <w:rPr>
          <w:sz w:val="18"/>
          <w:szCs w:val="18"/>
        </w:rPr>
        <w:t xml:space="preserve"> </w:t>
      </w:r>
      <w:hyperlink r:id="rId68">
        <w:r w:rsidR="00031725">
          <w:rPr>
            <w:color w:val="1155CC"/>
            <w:sz w:val="18"/>
            <w:szCs w:val="18"/>
            <w:u w:val="single"/>
          </w:rPr>
          <w:t>https://www.egi.eu/services/research/</w:t>
        </w:r>
      </w:hyperlink>
      <w:r>
        <w:rPr>
          <w:sz w:val="18"/>
          <w:szCs w:val="18"/>
        </w:rPr>
        <w:t xml:space="preserve"> </w:t>
      </w:r>
    </w:p>
  </w:footnote>
  <w:footnote w:id="69">
    <w:p w14:paraId="00000848" w14:textId="77777777" w:rsidR="00031725" w:rsidRDefault="00000000">
      <w:pPr>
        <w:spacing w:after="0" w:line="240" w:lineRule="auto"/>
        <w:rPr>
          <w:sz w:val="16"/>
          <w:szCs w:val="16"/>
        </w:rPr>
      </w:pPr>
      <w:r>
        <w:rPr>
          <w:vertAlign w:val="superscript"/>
        </w:rPr>
        <w:footnoteRef/>
      </w:r>
      <w:r>
        <w:rPr>
          <w:sz w:val="16"/>
          <w:szCs w:val="16"/>
        </w:rPr>
        <w:t xml:space="preserve"> </w:t>
      </w:r>
      <w:hyperlink r:id="rId69">
        <w:r w:rsidR="00031725">
          <w:rPr>
            <w:color w:val="1155CC"/>
            <w:sz w:val="16"/>
            <w:szCs w:val="16"/>
            <w:u w:val="single"/>
          </w:rPr>
          <w:t>https://www.zoom.com/</w:t>
        </w:r>
      </w:hyperlink>
      <w:r>
        <w:rPr>
          <w:sz w:val="16"/>
          <w:szCs w:val="16"/>
        </w:rPr>
        <w:t xml:space="preserve"> </w:t>
      </w:r>
    </w:p>
  </w:footnote>
  <w:footnote w:id="70">
    <w:p w14:paraId="00000849" w14:textId="77777777" w:rsidR="00031725" w:rsidRDefault="00000000">
      <w:pPr>
        <w:spacing w:after="0" w:line="240" w:lineRule="auto"/>
        <w:rPr>
          <w:sz w:val="16"/>
          <w:szCs w:val="16"/>
        </w:rPr>
      </w:pPr>
      <w:r>
        <w:rPr>
          <w:vertAlign w:val="superscript"/>
        </w:rPr>
        <w:footnoteRef/>
      </w:r>
      <w:r>
        <w:rPr>
          <w:sz w:val="16"/>
          <w:szCs w:val="16"/>
        </w:rPr>
        <w:t xml:space="preserve"> </w:t>
      </w:r>
      <w:hyperlink r:id="rId70">
        <w:r w:rsidR="00031725">
          <w:rPr>
            <w:color w:val="1155CC"/>
            <w:sz w:val="16"/>
            <w:szCs w:val="16"/>
            <w:u w:val="single"/>
          </w:rPr>
          <w:t>https://docs.google.com/</w:t>
        </w:r>
      </w:hyperlink>
      <w:r>
        <w:rPr>
          <w:sz w:val="16"/>
          <w:szCs w:val="16"/>
        </w:rPr>
        <w:t xml:space="preserve"> </w:t>
      </w:r>
    </w:p>
  </w:footnote>
  <w:footnote w:id="71">
    <w:p w14:paraId="0000084A" w14:textId="77777777" w:rsidR="00031725" w:rsidRDefault="00000000">
      <w:pPr>
        <w:spacing w:after="0" w:line="240" w:lineRule="auto"/>
        <w:rPr>
          <w:sz w:val="16"/>
          <w:szCs w:val="16"/>
        </w:rPr>
      </w:pPr>
      <w:r>
        <w:rPr>
          <w:vertAlign w:val="superscript"/>
        </w:rPr>
        <w:footnoteRef/>
      </w:r>
      <w:r>
        <w:rPr>
          <w:sz w:val="16"/>
          <w:szCs w:val="16"/>
        </w:rPr>
        <w:t xml:space="preserve"> </w:t>
      </w:r>
      <w:hyperlink r:id="rId71">
        <w:r w:rsidR="00031725">
          <w:rPr>
            <w:color w:val="1155CC"/>
            <w:sz w:val="16"/>
            <w:szCs w:val="16"/>
            <w:u w:val="single"/>
          </w:rPr>
          <w:t>https://www.drawio.com/</w:t>
        </w:r>
      </w:hyperlink>
      <w:r>
        <w:rPr>
          <w:sz w:val="16"/>
          <w:szCs w:val="16"/>
        </w:rPr>
        <w:t xml:space="preserve"> </w:t>
      </w:r>
    </w:p>
  </w:footnote>
  <w:footnote w:id="72">
    <w:p w14:paraId="0000084B" w14:textId="77777777" w:rsidR="00031725" w:rsidRDefault="00000000">
      <w:pPr>
        <w:spacing w:after="0" w:line="240" w:lineRule="auto"/>
        <w:rPr>
          <w:sz w:val="16"/>
          <w:szCs w:val="16"/>
        </w:rPr>
      </w:pPr>
      <w:r>
        <w:rPr>
          <w:vertAlign w:val="superscript"/>
        </w:rPr>
        <w:footnoteRef/>
      </w:r>
      <w:r>
        <w:rPr>
          <w:sz w:val="16"/>
          <w:szCs w:val="16"/>
        </w:rPr>
        <w:t xml:space="preserve"> </w:t>
      </w:r>
      <w:hyperlink r:id="rId72">
        <w:r w:rsidR="00031725">
          <w:rPr>
            <w:color w:val="1155CC"/>
            <w:sz w:val="16"/>
            <w:szCs w:val="16"/>
            <w:u w:val="single"/>
          </w:rPr>
          <w:t>https://miro.com/</w:t>
        </w:r>
      </w:hyperlink>
      <w:r>
        <w:rPr>
          <w:sz w:val="16"/>
          <w:szCs w:val="16"/>
        </w:rPr>
        <w:t xml:space="preserve"> </w:t>
      </w:r>
    </w:p>
  </w:footnote>
  <w:footnote w:id="73">
    <w:p w14:paraId="0000084C" w14:textId="77777777" w:rsidR="00031725" w:rsidRDefault="00000000">
      <w:pPr>
        <w:spacing w:after="0" w:line="240" w:lineRule="auto"/>
        <w:rPr>
          <w:sz w:val="16"/>
          <w:szCs w:val="16"/>
        </w:rPr>
      </w:pPr>
      <w:r>
        <w:rPr>
          <w:vertAlign w:val="superscript"/>
        </w:rPr>
        <w:footnoteRef/>
      </w:r>
      <w:r>
        <w:rPr>
          <w:sz w:val="16"/>
          <w:szCs w:val="16"/>
        </w:rPr>
        <w:t xml:space="preserve"> </w:t>
      </w:r>
      <w:hyperlink r:id="rId73">
        <w:r w:rsidR="00031725">
          <w:rPr>
            <w:color w:val="1155CC"/>
            <w:sz w:val="16"/>
            <w:szCs w:val="16"/>
            <w:u w:val="single"/>
          </w:rPr>
          <w:t>https://claude.ai/new</w:t>
        </w:r>
      </w:hyperlink>
      <w:r>
        <w:rPr>
          <w:sz w:val="16"/>
          <w:szCs w:val="16"/>
        </w:rPr>
        <w:t xml:space="preserve"> </w:t>
      </w:r>
    </w:p>
  </w:footnote>
  <w:footnote w:id="74">
    <w:p w14:paraId="0000084D" w14:textId="77777777" w:rsidR="00031725" w:rsidRDefault="00000000">
      <w:pPr>
        <w:spacing w:after="0" w:line="240" w:lineRule="auto"/>
        <w:rPr>
          <w:sz w:val="16"/>
          <w:szCs w:val="16"/>
        </w:rPr>
      </w:pPr>
      <w:r>
        <w:rPr>
          <w:vertAlign w:val="superscript"/>
        </w:rPr>
        <w:footnoteRef/>
      </w:r>
      <w:r>
        <w:rPr>
          <w:sz w:val="16"/>
          <w:szCs w:val="16"/>
        </w:rPr>
        <w:t xml:space="preserve"> </w:t>
      </w:r>
      <w:hyperlink r:id="rId74">
        <w:r w:rsidR="00031725">
          <w:rPr>
            <w:color w:val="1155CC"/>
            <w:sz w:val="16"/>
            <w:szCs w:val="16"/>
            <w:u w:val="single"/>
          </w:rPr>
          <w:t>https://www.rd-alliance.org/about/code-of-conduct/rda-guidance-on-ai-tools-usage/</w:t>
        </w:r>
      </w:hyperlink>
      <w:r>
        <w:rPr>
          <w:sz w:val="16"/>
          <w:szCs w:val="16"/>
        </w:rPr>
        <w:t xml:space="preserve"> </w:t>
      </w:r>
    </w:p>
  </w:footnote>
  <w:footnote w:id="75">
    <w:p w14:paraId="0000085D" w14:textId="77777777" w:rsidR="00031725" w:rsidRDefault="00000000">
      <w:pPr>
        <w:spacing w:after="0" w:line="240" w:lineRule="auto"/>
        <w:rPr>
          <w:sz w:val="16"/>
          <w:szCs w:val="16"/>
        </w:rPr>
      </w:pPr>
      <w:r>
        <w:rPr>
          <w:vertAlign w:val="superscript"/>
        </w:rPr>
        <w:footnoteRef/>
      </w:r>
      <w:r>
        <w:rPr>
          <w:sz w:val="16"/>
          <w:szCs w:val="16"/>
        </w:rPr>
        <w:t xml:space="preserve"> </w:t>
      </w:r>
      <w:hyperlink r:id="rId75">
        <w:r w:rsidR="00031725">
          <w:rPr>
            <w:color w:val="1155CC"/>
            <w:sz w:val="16"/>
            <w:szCs w:val="16"/>
            <w:u w:val="single"/>
          </w:rPr>
          <w:t>https://www.rd-alliance.org/membership/individual-membership/</w:t>
        </w:r>
      </w:hyperlink>
      <w:r>
        <w:rPr>
          <w:sz w:val="16"/>
          <w:szCs w:val="16"/>
        </w:rPr>
        <w:t xml:space="preserve"> </w:t>
      </w:r>
    </w:p>
  </w:footnote>
  <w:footnote w:id="76">
    <w:p w14:paraId="0000085C" w14:textId="77777777" w:rsidR="00031725" w:rsidRDefault="00000000">
      <w:pPr>
        <w:spacing w:after="0" w:line="240" w:lineRule="auto"/>
        <w:rPr>
          <w:sz w:val="16"/>
          <w:szCs w:val="16"/>
        </w:rPr>
      </w:pPr>
      <w:r>
        <w:rPr>
          <w:vertAlign w:val="superscript"/>
        </w:rPr>
        <w:footnoteRef/>
      </w:r>
      <w:r>
        <w:rPr>
          <w:sz w:val="16"/>
          <w:szCs w:val="16"/>
        </w:rPr>
        <w:t xml:space="preserve"> </w:t>
      </w:r>
      <w:hyperlink r:id="rId76">
        <w:r w:rsidR="00031725">
          <w:rPr>
            <w:color w:val="1155CC"/>
            <w:sz w:val="16"/>
            <w:szCs w:val="16"/>
            <w:u w:val="single"/>
          </w:rPr>
          <w:t>https://www.rd-alliance.org/membership/organisational-membership/</w:t>
        </w:r>
      </w:hyperlink>
      <w:r>
        <w:rPr>
          <w:sz w:val="16"/>
          <w:szCs w:val="16"/>
        </w:rPr>
        <w:t xml:space="preserve"> </w:t>
      </w:r>
    </w:p>
  </w:footnote>
  <w:footnote w:id="77">
    <w:p w14:paraId="0000086B" w14:textId="77777777" w:rsidR="00031725" w:rsidRDefault="00000000">
      <w:pPr>
        <w:spacing w:after="0" w:line="240" w:lineRule="auto"/>
        <w:rPr>
          <w:sz w:val="12"/>
          <w:szCs w:val="12"/>
        </w:rPr>
      </w:pPr>
      <w:r>
        <w:rPr>
          <w:vertAlign w:val="superscript"/>
        </w:rPr>
        <w:footnoteRef/>
      </w:r>
      <w:r>
        <w:rPr>
          <w:sz w:val="12"/>
          <w:szCs w:val="12"/>
        </w:rPr>
        <w:t xml:space="preserve"> </w:t>
      </w:r>
      <w:hyperlink r:id="rId77">
        <w:r w:rsidR="00031725">
          <w:rPr>
            <w:color w:val="1155CC"/>
            <w:sz w:val="16"/>
            <w:szCs w:val="16"/>
            <w:u w:val="single"/>
          </w:rPr>
          <w:t>https://www.microsoft.com/</w:t>
        </w:r>
      </w:hyperlink>
      <w:r>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000085F" w14:textId="77777777" w:rsidR="00031725" w:rsidRDefault="00000000">
    <w:pPr>
      <w:pStyle w:val="Heading1"/>
      <w:keepNext/>
      <w:keepLines/>
      <w:spacing w:before="400" w:after="120" w:line="276" w:lineRule="auto"/>
      <w:rPr>
        <w:sz w:val="40"/>
        <w:szCs w:val="40"/>
      </w:rPr>
    </w:pPr>
    <w:bookmarkStart w:id="0" w:name="_heading=h.jj85adtwngtx" w:colFirst="0" w:colLast="0"/>
    <w:bookmarkEnd w:id="0"/>
    <w:r>
      <w:rPr>
        <w:noProof/>
        <w:sz w:val="40"/>
        <w:szCs w:val="40"/>
      </w:rPr>
      <w:drawing>
        <wp:inline distT="114300" distB="114300" distL="114300" distR="114300" wp14:anchorId="4883726D" wp14:editId="75C99FF4">
          <wp:extent cx="1166813" cy="677862"/>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50935"/>
                  <a:stretch>
                    <a:fillRect/>
                  </a:stretch>
                </pic:blipFill>
                <pic:spPr>
                  <a:xfrm>
                    <a:off x="0" y="0"/>
                    <a:ext cx="1166813" cy="677862"/>
                  </a:xfrm>
                  <a:prstGeom prst="rect">
                    <a:avLst/>
                  </a:prstGeom>
                  <a:ln/>
                </pic:spPr>
              </pic:pic>
            </a:graphicData>
          </a:graphic>
        </wp:inline>
      </w:drawing>
    </w:r>
    <w:r>
      <w:rPr>
        <w:noProof/>
        <w:sz w:val="40"/>
        <w:szCs w:val="40"/>
      </w:rPr>
      <w:drawing>
        <wp:inline distT="114300" distB="114300" distL="114300" distR="114300" wp14:anchorId="530A441B" wp14:editId="4BE3B260">
          <wp:extent cx="1698625" cy="627063"/>
          <wp:effectExtent l="0" t="0" r="0" b="0"/>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1698625" cy="627063"/>
                  </a:xfrm>
                  <a:prstGeom prst="rect">
                    <a:avLst/>
                  </a:prstGeom>
                  <a:ln/>
                </pic:spPr>
              </pic:pic>
            </a:graphicData>
          </a:graphic>
        </wp:inline>
      </w:drawing>
    </w:r>
  </w:p>
  <w:p w14:paraId="00000860" w14:textId="77777777" w:rsidR="00031725" w:rsidRDefault="0003172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000086C" w14:textId="0CE5490E" w:rsidR="00031725" w:rsidRDefault="00031725">
    <w:pPr>
      <w:rPr>
        <w:b/>
        <w:bCs/>
        <w:color w:val="005B52"/>
        <w:sz w:val="64"/>
        <w:szCs w:val="64"/>
      </w:rPr>
    </w:pPr>
  </w:p>
  <w:p w14:paraId="0000086D" w14:textId="77777777" w:rsidR="00031725" w:rsidRDefault="00031725">
    <w:pPr>
      <w:rPr>
        <w:b/>
        <w:bCs/>
        <w:color w:val="005B52"/>
        <w:sz w:val="64"/>
        <w:szCs w:val="6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0000861" w14:textId="77777777" w:rsidR="00031725" w:rsidRDefault="00000000">
    <w:pPr>
      <w:pStyle w:val="Heading1"/>
      <w:keepNext/>
      <w:keepLines/>
      <w:spacing w:before="400" w:after="120" w:line="276" w:lineRule="auto"/>
      <w:rPr>
        <w:sz w:val="40"/>
        <w:szCs w:val="40"/>
      </w:rPr>
    </w:pPr>
    <w:bookmarkStart w:id="33" w:name="_heading=h.38nbx9aoawof" w:colFirst="0" w:colLast="0"/>
    <w:bookmarkEnd w:id="33"/>
    <w:r>
      <w:rPr>
        <w:noProof/>
        <w:sz w:val="40"/>
        <w:szCs w:val="40"/>
      </w:rPr>
      <w:drawing>
        <wp:inline distT="114300" distB="114300" distL="114300" distR="114300" wp14:anchorId="4DDA4ED4" wp14:editId="4B0F08EF">
          <wp:extent cx="1166813" cy="677862"/>
          <wp:effectExtent l="0" t="0" r="0" b="0"/>
          <wp:docPr id="5798491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50935"/>
                  <a:stretch>
                    <a:fillRect/>
                  </a:stretch>
                </pic:blipFill>
                <pic:spPr>
                  <a:xfrm>
                    <a:off x="0" y="0"/>
                    <a:ext cx="1166813" cy="677862"/>
                  </a:xfrm>
                  <a:prstGeom prst="rect">
                    <a:avLst/>
                  </a:prstGeom>
                  <a:ln/>
                </pic:spPr>
              </pic:pic>
            </a:graphicData>
          </a:graphic>
        </wp:inline>
      </w:drawing>
    </w:r>
    <w:r>
      <w:rPr>
        <w:noProof/>
        <w:sz w:val="40"/>
        <w:szCs w:val="40"/>
      </w:rPr>
      <w:drawing>
        <wp:inline distT="114300" distB="114300" distL="114300" distR="114300" wp14:anchorId="1AD6A493" wp14:editId="37745686">
          <wp:extent cx="1698625" cy="627063"/>
          <wp:effectExtent l="0" t="0" r="0" b="0"/>
          <wp:docPr id="161695577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1698625" cy="627063"/>
                  </a:xfrm>
                  <a:prstGeom prst="rect">
                    <a:avLst/>
                  </a:prstGeom>
                  <a:ln/>
                </pic:spPr>
              </pic:pic>
            </a:graphicData>
          </a:graphic>
        </wp:inline>
      </w:drawing>
    </w:r>
  </w:p>
  <w:p w14:paraId="00000862" w14:textId="5B7BD279" w:rsidR="00031725" w:rsidRDefault="00000000">
    <w:pPr>
      <w:pBdr>
        <w:bottom w:val="single" w:sz="4" w:space="2" w:color="007A6E"/>
      </w:pBdr>
      <w:tabs>
        <w:tab w:val="right" w:pos="9026"/>
      </w:tabs>
    </w:pPr>
    <w:r>
      <w:rPr>
        <w:color w:val="007A6E"/>
        <w:sz w:val="18"/>
        <w:szCs w:val="18"/>
      </w:rPr>
      <w:t>Data Director AI Agent - Open Technology-Agnostic Blueprint</w:t>
    </w:r>
    <w:r>
      <w:rPr>
        <w:sz w:val="18"/>
        <w:szCs w:val="18"/>
      </w:rPr>
      <w:tab/>
    </w:r>
    <w:r>
      <w:rPr>
        <w:sz w:val="18"/>
        <w:szCs w:val="18"/>
      </w:rPr>
      <w:tab/>
    </w:r>
    <w:r>
      <w:rPr>
        <w:i/>
        <w:iCs/>
        <w:color w:val="888888"/>
        <w:sz w:val="18"/>
        <w:szCs w:val="18"/>
      </w:rPr>
      <w:t>v0.1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19A1C0E"/>
    <w:multiLevelType w:val="multilevel"/>
    <w:tmpl w:val="031229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CB0E9A"/>
    <w:multiLevelType w:val="multilevel"/>
    <w:tmpl w:val="9B2A04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370A90"/>
    <w:multiLevelType w:val="multilevel"/>
    <w:tmpl w:val="C7A816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BE5C36"/>
    <w:multiLevelType w:val="multilevel"/>
    <w:tmpl w:val="766EBE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B4F157D"/>
    <w:multiLevelType w:val="multilevel"/>
    <w:tmpl w:val="21A2B2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0D2C5E"/>
    <w:multiLevelType w:val="multilevel"/>
    <w:tmpl w:val="A148E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F7236EE"/>
    <w:multiLevelType w:val="multilevel"/>
    <w:tmpl w:val="082CC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035038D"/>
    <w:multiLevelType w:val="multilevel"/>
    <w:tmpl w:val="F52E86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1801EA4"/>
    <w:multiLevelType w:val="multilevel"/>
    <w:tmpl w:val="423667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3BC56D5"/>
    <w:multiLevelType w:val="multilevel"/>
    <w:tmpl w:val="CACC9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936703B"/>
    <w:multiLevelType w:val="multilevel"/>
    <w:tmpl w:val="BBB484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B0420C6"/>
    <w:multiLevelType w:val="multilevel"/>
    <w:tmpl w:val="FCCCE7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D311809"/>
    <w:multiLevelType w:val="multilevel"/>
    <w:tmpl w:val="804679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F254C38"/>
    <w:multiLevelType w:val="multilevel"/>
    <w:tmpl w:val="AA0AF2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0377BE3"/>
    <w:multiLevelType w:val="multilevel"/>
    <w:tmpl w:val="F8AEF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07B28A6"/>
    <w:multiLevelType w:val="multilevel"/>
    <w:tmpl w:val="3A0AFA4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14F6A3C"/>
    <w:multiLevelType w:val="multilevel"/>
    <w:tmpl w:val="9B00F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9510BC8"/>
    <w:multiLevelType w:val="multilevel"/>
    <w:tmpl w:val="647ECF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B363AC0"/>
    <w:multiLevelType w:val="multilevel"/>
    <w:tmpl w:val="4BA218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C33282D"/>
    <w:multiLevelType w:val="multilevel"/>
    <w:tmpl w:val="F3BCF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C972CC8"/>
    <w:multiLevelType w:val="multilevel"/>
    <w:tmpl w:val="41642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DF9444F"/>
    <w:multiLevelType w:val="multilevel"/>
    <w:tmpl w:val="934440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12209A9"/>
    <w:multiLevelType w:val="multilevel"/>
    <w:tmpl w:val="AF3C1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2D642C7"/>
    <w:multiLevelType w:val="multilevel"/>
    <w:tmpl w:val="0826DC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75C6595"/>
    <w:multiLevelType w:val="multilevel"/>
    <w:tmpl w:val="3A0AFA4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9051389"/>
    <w:multiLevelType w:val="multilevel"/>
    <w:tmpl w:val="3F4A6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C760ADC"/>
    <w:multiLevelType w:val="multilevel"/>
    <w:tmpl w:val="9828C9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DBB56DB"/>
    <w:multiLevelType w:val="multilevel"/>
    <w:tmpl w:val="B35684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FBC1925"/>
    <w:multiLevelType w:val="multilevel"/>
    <w:tmpl w:val="9EE437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33D0AD6"/>
    <w:multiLevelType w:val="multilevel"/>
    <w:tmpl w:val="CD3AB5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63040C2"/>
    <w:multiLevelType w:val="multilevel"/>
    <w:tmpl w:val="4762E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804530A"/>
    <w:multiLevelType w:val="multilevel"/>
    <w:tmpl w:val="E3E2EA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A7338BF"/>
    <w:multiLevelType w:val="multilevel"/>
    <w:tmpl w:val="65AE63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B017779"/>
    <w:multiLevelType w:val="multilevel"/>
    <w:tmpl w:val="471EAA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5D21017E"/>
    <w:multiLevelType w:val="multilevel"/>
    <w:tmpl w:val="C98694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16824FD"/>
    <w:multiLevelType w:val="multilevel"/>
    <w:tmpl w:val="64FA46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5523AC0"/>
    <w:multiLevelType w:val="multilevel"/>
    <w:tmpl w:val="3DCE86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8984F3E"/>
    <w:multiLevelType w:val="multilevel"/>
    <w:tmpl w:val="79C631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9787EFE"/>
    <w:multiLevelType w:val="multilevel"/>
    <w:tmpl w:val="5F769B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97912AE"/>
    <w:multiLevelType w:val="multilevel"/>
    <w:tmpl w:val="99EA0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7C874C8"/>
    <w:multiLevelType w:val="multilevel"/>
    <w:tmpl w:val="F482BC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EC80E23"/>
    <w:multiLevelType w:val="multilevel"/>
    <w:tmpl w:val="33CEBB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51142990">
    <w:abstractNumId w:val="33"/>
  </w:num>
  <w:num w:numId="2" w16cid:durableId="2036609729">
    <w:abstractNumId w:val="4"/>
  </w:num>
  <w:num w:numId="3" w16cid:durableId="479076334">
    <w:abstractNumId w:val="29"/>
  </w:num>
  <w:num w:numId="4" w16cid:durableId="995381025">
    <w:abstractNumId w:val="31"/>
  </w:num>
  <w:num w:numId="5" w16cid:durableId="1572538485">
    <w:abstractNumId w:val="17"/>
  </w:num>
  <w:num w:numId="6" w16cid:durableId="585312659">
    <w:abstractNumId w:val="28"/>
  </w:num>
  <w:num w:numId="7" w16cid:durableId="1175848784">
    <w:abstractNumId w:val="20"/>
  </w:num>
  <w:num w:numId="8" w16cid:durableId="1132791002">
    <w:abstractNumId w:val="16"/>
  </w:num>
  <w:num w:numId="9" w16cid:durableId="1415738088">
    <w:abstractNumId w:val="12"/>
  </w:num>
  <w:num w:numId="10" w16cid:durableId="815800438">
    <w:abstractNumId w:val="9"/>
  </w:num>
  <w:num w:numId="11" w16cid:durableId="975379222">
    <w:abstractNumId w:val="30"/>
  </w:num>
  <w:num w:numId="12" w16cid:durableId="202601579">
    <w:abstractNumId w:val="26"/>
  </w:num>
  <w:num w:numId="13" w16cid:durableId="1000236605">
    <w:abstractNumId w:val="22"/>
  </w:num>
  <w:num w:numId="14" w16cid:durableId="1829318625">
    <w:abstractNumId w:val="2"/>
  </w:num>
  <w:num w:numId="15" w16cid:durableId="1907297615">
    <w:abstractNumId w:val="10"/>
  </w:num>
  <w:num w:numId="16" w16cid:durableId="1219710145">
    <w:abstractNumId w:val="36"/>
  </w:num>
  <w:num w:numId="17" w16cid:durableId="636374517">
    <w:abstractNumId w:val="18"/>
  </w:num>
  <w:num w:numId="18" w16cid:durableId="1685740376">
    <w:abstractNumId w:val="34"/>
  </w:num>
  <w:num w:numId="19" w16cid:durableId="1451431086">
    <w:abstractNumId w:val="8"/>
  </w:num>
  <w:num w:numId="20" w16cid:durableId="886338705">
    <w:abstractNumId w:val="35"/>
  </w:num>
  <w:num w:numId="21" w16cid:durableId="1741755223">
    <w:abstractNumId w:val="38"/>
  </w:num>
  <w:num w:numId="22" w16cid:durableId="212624666">
    <w:abstractNumId w:val="40"/>
  </w:num>
  <w:num w:numId="23" w16cid:durableId="1067648554">
    <w:abstractNumId w:val="23"/>
  </w:num>
  <w:num w:numId="24" w16cid:durableId="1540162738">
    <w:abstractNumId w:val="0"/>
  </w:num>
  <w:num w:numId="25" w16cid:durableId="149518220">
    <w:abstractNumId w:val="27"/>
  </w:num>
  <w:num w:numId="26" w16cid:durableId="129055413">
    <w:abstractNumId w:val="11"/>
  </w:num>
  <w:num w:numId="27" w16cid:durableId="1001003128">
    <w:abstractNumId w:val="6"/>
  </w:num>
  <w:num w:numId="28" w16cid:durableId="1509830199">
    <w:abstractNumId w:val="13"/>
  </w:num>
  <w:num w:numId="29" w16cid:durableId="992610495">
    <w:abstractNumId w:val="3"/>
  </w:num>
  <w:num w:numId="30" w16cid:durableId="468010664">
    <w:abstractNumId w:val="19"/>
  </w:num>
  <w:num w:numId="31" w16cid:durableId="840900463">
    <w:abstractNumId w:val="32"/>
  </w:num>
  <w:num w:numId="32" w16cid:durableId="1267273752">
    <w:abstractNumId w:val="1"/>
  </w:num>
  <w:num w:numId="33" w16cid:durableId="1011953296">
    <w:abstractNumId w:val="7"/>
  </w:num>
  <w:num w:numId="34" w16cid:durableId="1050762884">
    <w:abstractNumId w:val="39"/>
  </w:num>
  <w:num w:numId="35" w16cid:durableId="28340548">
    <w:abstractNumId w:val="14"/>
  </w:num>
  <w:num w:numId="36" w16cid:durableId="1049571419">
    <w:abstractNumId w:val="21"/>
  </w:num>
  <w:num w:numId="37" w16cid:durableId="1164856182">
    <w:abstractNumId w:val="25"/>
  </w:num>
  <w:num w:numId="38" w16cid:durableId="604265400">
    <w:abstractNumId w:val="41"/>
  </w:num>
  <w:num w:numId="39" w16cid:durableId="921454904">
    <w:abstractNumId w:val="5"/>
  </w:num>
  <w:num w:numId="40" w16cid:durableId="787821025">
    <w:abstractNumId w:val="37"/>
  </w:num>
  <w:num w:numId="41" w16cid:durableId="1678344154">
    <w:abstractNumId w:val="24"/>
  </w:num>
  <w:num w:numId="42" w16cid:durableId="497500662">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15:person w15:author="Connie Clare">
    <w15:presenceInfo w15:providerId="AD" w15:userId="S::connie.clare@rda-foundation.org::cca17b24-2721-4414-a93e-64df63e434fa"/>
  </w15:person>
</w15:people>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7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1725"/>
    <w:rsid w:val="00014945"/>
    <w:rsid w:val="00031725"/>
    <w:rsid w:val="000540DC"/>
    <w:rsid w:val="00062C30"/>
    <w:rsid w:val="00067564"/>
    <w:rsid w:val="00072FB8"/>
    <w:rsid w:val="0008075A"/>
    <w:rsid w:val="000E2A6B"/>
    <w:rsid w:val="00127A34"/>
    <w:rsid w:val="001477A4"/>
    <w:rsid w:val="00150C7D"/>
    <w:rsid w:val="001622C3"/>
    <w:rsid w:val="00183F3D"/>
    <w:rsid w:val="0019467E"/>
    <w:rsid w:val="001949BD"/>
    <w:rsid w:val="001C265D"/>
    <w:rsid w:val="001F2C06"/>
    <w:rsid w:val="00200CC3"/>
    <w:rsid w:val="00204CC6"/>
    <w:rsid w:val="00213251"/>
    <w:rsid w:val="00225C1F"/>
    <w:rsid w:val="00233914"/>
    <w:rsid w:val="0025724A"/>
    <w:rsid w:val="00271A0B"/>
    <w:rsid w:val="002D51D8"/>
    <w:rsid w:val="002E338E"/>
    <w:rsid w:val="003024B5"/>
    <w:rsid w:val="00304078"/>
    <w:rsid w:val="003255B7"/>
    <w:rsid w:val="003B5F39"/>
    <w:rsid w:val="003C5422"/>
    <w:rsid w:val="00433C8A"/>
    <w:rsid w:val="004372D1"/>
    <w:rsid w:val="004540EE"/>
    <w:rsid w:val="00463D4B"/>
    <w:rsid w:val="00483A41"/>
    <w:rsid w:val="004F5A72"/>
    <w:rsid w:val="005265AF"/>
    <w:rsid w:val="00555B08"/>
    <w:rsid w:val="005A1A48"/>
    <w:rsid w:val="005D30C9"/>
    <w:rsid w:val="005F307B"/>
    <w:rsid w:val="00630D52"/>
    <w:rsid w:val="00646BD1"/>
    <w:rsid w:val="006A2C75"/>
    <w:rsid w:val="006B22C2"/>
    <w:rsid w:val="006B70CF"/>
    <w:rsid w:val="006B71BC"/>
    <w:rsid w:val="007A20A6"/>
    <w:rsid w:val="007E4ECD"/>
    <w:rsid w:val="007F7673"/>
    <w:rsid w:val="008253CE"/>
    <w:rsid w:val="00834CF1"/>
    <w:rsid w:val="00895C8C"/>
    <w:rsid w:val="008F2B22"/>
    <w:rsid w:val="009269DE"/>
    <w:rsid w:val="009B2360"/>
    <w:rsid w:val="009B4BB4"/>
    <w:rsid w:val="009E4B05"/>
    <w:rsid w:val="00A12E37"/>
    <w:rsid w:val="00A544FA"/>
    <w:rsid w:val="00A6197B"/>
    <w:rsid w:val="00B11DD7"/>
    <w:rsid w:val="00BF756E"/>
    <w:rsid w:val="00C03B14"/>
    <w:rsid w:val="00C140D0"/>
    <w:rsid w:val="00D04BB9"/>
    <w:rsid w:val="00D60B9D"/>
    <w:rsid w:val="00DB6EAA"/>
    <w:rsid w:val="00E15ABA"/>
    <w:rsid w:val="00E2719F"/>
    <w:rsid w:val="00E3741F"/>
    <w:rsid w:val="00EB3679"/>
    <w:rsid w:val="00ED1E3F"/>
    <w:rsid w:val="00EE5C7F"/>
    <w:rsid w:val="00EE6E4D"/>
    <w:rsid w:val="00F24722"/>
    <w:rsid w:val="00F33176"/>
    <w:rsid w:val="00F878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E2073"/>
  <w15:docId w15:val="{A8C32130-5157-0A4C-912C-2DCAA9565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2"/>
        <w:szCs w:val="22"/>
        <w:lang w:val="en-GB" w:eastAsia="en-GB"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360" w:after="160" w:line="240" w:lineRule="auto"/>
      <w:outlineLvl w:val="0"/>
    </w:pPr>
    <w:rPr>
      <w:b/>
      <w:bCs/>
      <w:color w:val="005B52"/>
      <w:sz w:val="36"/>
      <w:szCs w:val="36"/>
    </w:rPr>
  </w:style>
  <w:style w:type="paragraph" w:styleId="Heading2">
    <w:name w:val="heading 2"/>
    <w:basedOn w:val="Normal"/>
    <w:next w:val="Normal"/>
    <w:uiPriority w:val="9"/>
    <w:unhideWhenUsed/>
    <w:qFormat/>
    <w:pPr>
      <w:pBdr>
        <w:top w:val="nil"/>
        <w:left w:val="nil"/>
        <w:bottom w:val="nil"/>
        <w:right w:val="nil"/>
        <w:between w:val="nil"/>
      </w:pBdr>
      <w:spacing w:before="280" w:line="240" w:lineRule="auto"/>
      <w:outlineLvl w:val="1"/>
    </w:pPr>
    <w:rPr>
      <w:b/>
      <w:bCs/>
      <w:color w:val="6B2828"/>
      <w:sz w:val="28"/>
      <w:szCs w:val="28"/>
    </w:rPr>
  </w:style>
  <w:style w:type="paragraph" w:styleId="Heading3">
    <w:name w:val="heading 3"/>
    <w:basedOn w:val="Normal"/>
    <w:next w:val="Normal"/>
    <w:uiPriority w:val="9"/>
    <w:unhideWhenUsed/>
    <w:qFormat/>
    <w:pPr>
      <w:spacing w:before="240" w:after="240"/>
      <w:outlineLvl w:val="2"/>
    </w:pPr>
    <w:rPr>
      <w:b/>
      <w:bCs/>
      <w:color w:val="1A4A35"/>
      <w:sz w:val="28"/>
      <w:szCs w:val="28"/>
    </w:rPr>
  </w:style>
  <w:style w:type="paragraph" w:styleId="Heading4">
    <w:name w:val="heading 4"/>
    <w:basedOn w:val="Normal"/>
    <w:next w:val="Normal"/>
    <w:uiPriority w:val="9"/>
    <w:semiHidden/>
    <w:unhideWhenUsed/>
    <w:qFormat/>
    <w:pPr>
      <w:spacing w:before="240" w:after="240"/>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after="0" w:line="240" w:lineRule="auto"/>
      <w:outlineLvl w:val="4"/>
    </w:pPr>
    <w:rPr>
      <w:rFonts w:ascii="Calibri" w:eastAsia="Calibri" w:hAnsi="Calibri" w:cs="Calibri"/>
      <w:color w:val="2E74B5"/>
    </w:rPr>
  </w:style>
  <w:style w:type="paragraph" w:styleId="Heading6">
    <w:name w:val="heading 6"/>
    <w:basedOn w:val="Normal"/>
    <w:next w:val="Normal"/>
    <w:uiPriority w:val="9"/>
    <w:semiHidden/>
    <w:unhideWhenUsed/>
    <w:qFormat/>
    <w:pPr>
      <w:pBdr>
        <w:top w:val="nil"/>
        <w:left w:val="nil"/>
        <w:bottom w:val="nil"/>
        <w:right w:val="nil"/>
        <w:between w:val="nil"/>
      </w:pBdr>
      <w:spacing w:after="0" w:line="240" w:lineRule="auto"/>
      <w:outlineLvl w:val="5"/>
    </w:pPr>
    <w:rPr>
      <w:rFonts w:ascii="Calibri" w:eastAsia="Calibri" w:hAnsi="Calibri" w:cs="Calibri"/>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spacing w:after="0" w:line="240" w:lineRule="auto"/>
    </w:pPr>
    <w:rPr>
      <w:rFonts w:ascii="Calibri" w:eastAsia="Calibri" w:hAnsi="Calibri" w:cs="Calibri"/>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 w:type="dxa"/>
        <w:bottom w:w="0" w:type="dxa"/>
        <w:right w:w="10" w:type="dxa"/>
      </w:tblCellMar>
    </w:tblPr>
  </w:style>
  <w:style w:type="table" w:customStyle="1" w:styleId="a0">
    <w:basedOn w:val="TableNormal0"/>
    <w:tblPr>
      <w:tblStyleRowBandSize w:val="1"/>
      <w:tblStyleColBandSize w:val="1"/>
      <w:tblCellMar>
        <w:top w:w="0" w:type="dxa"/>
        <w:left w:w="10" w:type="dxa"/>
        <w:bottom w:w="0" w:type="dxa"/>
        <w:right w:w="10" w:type="dxa"/>
      </w:tblCellMar>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CellMar>
        <w:top w:w="0" w:type="dxa"/>
        <w:left w:w="10" w:type="dxa"/>
        <w:bottom w:w="0" w:type="dxa"/>
        <w:right w:w="10" w:type="dxa"/>
      </w:tblCellMar>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3255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55B7"/>
  </w:style>
  <w:style w:type="paragraph" w:styleId="Footer">
    <w:name w:val="footer"/>
    <w:basedOn w:val="Normal"/>
    <w:link w:val="FooterChar"/>
    <w:uiPriority w:val="99"/>
    <w:unhideWhenUsed/>
    <w:rsid w:val="003255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55B7"/>
  </w:style>
  <w:style w:type="paragraph" w:styleId="FootnoteText">
    <w:name w:val="footnote text"/>
    <w:basedOn w:val="Normal"/>
    <w:link w:val="FootnoteTextChar"/>
    <w:uiPriority w:val="99"/>
    <w:semiHidden/>
    <w:unhideWhenUsed/>
    <w:rsid w:val="00555B0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55B08"/>
    <w:rPr>
      <w:sz w:val="20"/>
      <w:szCs w:val="20"/>
    </w:rPr>
  </w:style>
  <w:style w:type="character" w:styleId="FootnoteReference">
    <w:name w:val="footnote reference"/>
    <w:basedOn w:val="DefaultParagraphFont"/>
    <w:uiPriority w:val="99"/>
    <w:semiHidden/>
    <w:unhideWhenUsed/>
    <w:rsid w:val="00555B08"/>
    <w:rPr>
      <w:vertAlign w:val="superscript"/>
    </w:rPr>
  </w:style>
  <w:style w:type="character" w:styleId="Hyperlink">
    <w:name w:val="Hyperlink"/>
    <w:basedOn w:val="DefaultParagraphFont"/>
    <w:uiPriority w:val="99"/>
    <w:unhideWhenUsed/>
    <w:rsid w:val="00555B08"/>
    <w:rPr>
      <w:color w:val="0000FF" w:themeColor="hyperlink"/>
      <w:u w:val="single"/>
    </w:rPr>
  </w:style>
  <w:style w:type="character" w:styleId="UnresolvedMention">
    <w:name w:val="Unresolved Mention"/>
    <w:basedOn w:val="DefaultParagraphFont"/>
    <w:uiPriority w:val="99"/>
    <w:semiHidden/>
    <w:unhideWhenUsed/>
    <w:rsid w:val="00555B08"/>
    <w:rPr>
      <w:color w:val="605E5C"/>
      <w:shd w:val="clear" w:color="auto" w:fill="E1DFDD"/>
    </w:rPr>
  </w:style>
  <w:style w:type="character" w:styleId="FollowedHyperlink">
    <w:name w:val="FollowedHyperlink"/>
    <w:basedOn w:val="DefaultParagraphFont"/>
    <w:uiPriority w:val="99"/>
    <w:semiHidden/>
    <w:unhideWhenUsed/>
    <w:rsid w:val="00555B08"/>
    <w:rPr>
      <w:color w:val="800080" w:themeColor="followedHyperlink"/>
      <w:u w:val="single"/>
    </w:rPr>
  </w:style>
  <w:style w:type="paragraph" w:styleId="TOC1">
    <w:name w:val="toc 1"/>
    <w:basedOn w:val="Normal"/>
    <w:next w:val="Normal"/>
    <w:autoRedefine/>
    <w:uiPriority w:val="39"/>
    <w:unhideWhenUsed/>
    <w:rsid w:val="00127A34"/>
    <w:pPr>
      <w:spacing w:after="100"/>
    </w:pPr>
  </w:style>
  <w:style w:type="paragraph" w:styleId="TOC2">
    <w:name w:val="toc 2"/>
    <w:basedOn w:val="Normal"/>
    <w:next w:val="Normal"/>
    <w:autoRedefine/>
    <w:uiPriority w:val="39"/>
    <w:unhideWhenUsed/>
    <w:rsid w:val="00127A34"/>
    <w:pPr>
      <w:spacing w:after="100"/>
      <w:ind w:left="220"/>
    </w:pPr>
  </w:style>
  <w:style w:type="paragraph" w:styleId="TOC3">
    <w:name w:val="toc 3"/>
    <w:basedOn w:val="Normal"/>
    <w:next w:val="Normal"/>
    <w:autoRedefine/>
    <w:uiPriority w:val="39"/>
    <w:unhideWhenUsed/>
    <w:rsid w:val="00127A34"/>
    <w:pPr>
      <w:spacing w:after="100"/>
      <w:ind w:left="440"/>
    </w:pPr>
  </w:style>
  <w:style w:type="character" w:customStyle="1" w:styleId="animating6ta1u10">
    <w:name w:val="_animating_6ta1u_10"/>
    <w:basedOn w:val="DefaultParagraphFont"/>
    <w:rsid w:val="00150C7D"/>
  </w:style>
  <w:style w:type="character" w:styleId="Strong">
    <w:name w:val="Strong"/>
    <w:basedOn w:val="DefaultParagraphFont"/>
    <w:uiPriority w:val="22"/>
    <w:qFormat/>
    <w:rsid w:val="00150C7D"/>
    <w:rPr>
      <w:b/>
      <w:bCs/>
    </w:rPr>
  </w:style>
  <w:style w:type="paragraph" w:customStyle="1" w:styleId="font-claude-response-body">
    <w:name w:val="font-claude-response-body"/>
    <w:basedOn w:val="Normal"/>
    <w:rsid w:val="000540DC"/>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7A20A6"/>
    <w:pPr>
      <w:spacing w:after="0" w:line="240" w:lineRule="auto"/>
    </w:pPr>
  </w:style>
  <w:style w:type="paragraph" w:styleId="ListParagraph">
    <w:name w:val="List Paragraph"/>
    <w:basedOn w:val="Normal"/>
    <w:uiPriority w:val="34"/>
    <w:qFormat/>
    <w:rsid w:val="007A20A6"/>
    <w:pPr>
      <w:ind w:left="720"/>
      <w:contextualSpacing/>
    </w:pPr>
  </w:style>
  <w:style w:type="character" w:customStyle="1" w:styleId="apple-converted-space">
    <w:name w:val="apple-converted-space"/>
    <w:basedOn w:val="DefaultParagraphFont"/>
    <w:rsid w:val="00200C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www.ncbi.nlm.nih.gov/books/NBK614410/" TargetMode="External"/><Relationship Id="rId21" Type="http://schemas.openxmlformats.org/officeDocument/2006/relationships/hyperlink" Target="https://www.coretrustseal.org/" TargetMode="External"/><Relationship Id="rId63" Type="http://schemas.openxmlformats.org/officeDocument/2006/relationships/hyperlink" Target="https://fairsharing.gitbook.io/fairsharing/record-sections-and-fields/general-information/globally-unique-persistent-and-resolvable-identifier-schemas" TargetMode="External"/><Relationship Id="rId159" Type="http://schemas.openxmlformats.org/officeDocument/2006/relationships/hyperlink" Target="https://orcid.org/" TargetMode="External"/><Relationship Id="rId170" Type="http://schemas.openxmlformats.org/officeDocument/2006/relationships/hyperlink" Target="https://fair-enough.semanticscience.org/" TargetMode="External"/><Relationship Id="rId226" Type="http://schemas.openxmlformats.org/officeDocument/2006/relationships/hyperlink" Target="https://www.rd-alliance.org/groups/data-director-agentic-ai-blueprint/activity/" TargetMode="External"/><Relationship Id="rId268" Type="http://schemas.microsoft.com/office/2011/relationships/people" Target="people.xml"/><Relationship Id="rId11" Type="http://schemas.openxmlformats.org/officeDocument/2006/relationships/hyperlink" Target="https://www.rd-alliance.org/groups/data-director-agentic-ai-blueprint/activity/" TargetMode="External"/><Relationship Id="rId32" Type="http://schemas.microsoft.com/office/2016/09/relationships/commentsIds" Target="commentsIds.xml"/><Relationship Id="rId53" Type="http://schemas.openxmlformats.org/officeDocument/2006/relationships/hyperlink" Target="https://www.ebi.ac.uk/ols/" TargetMode="External"/><Relationship Id="rId74" Type="http://schemas.openxmlformats.org/officeDocument/2006/relationships/hyperlink" Target="https://orcid.org/" TargetMode="External"/><Relationship Id="rId128" Type="http://schemas.openxmlformats.org/officeDocument/2006/relationships/hyperlink" Target="https://www.unesco.org/en/open-science/about" TargetMode="External"/><Relationship Id="rId149" Type="http://schemas.openxmlformats.org/officeDocument/2006/relationships/hyperlink" Target="https://www.go-fair.org/fair-principles/" TargetMode="External"/><Relationship Id="rId5" Type="http://schemas.openxmlformats.org/officeDocument/2006/relationships/webSettings" Target="webSettings.xml"/><Relationship Id="rId95" Type="http://schemas.openxmlformats.org/officeDocument/2006/relationships/hyperlink" Target="https://www.w3.org/" TargetMode="External"/><Relationship Id="rId160" Type="http://schemas.openxmlformats.org/officeDocument/2006/relationships/hyperlink" Target="https://ror.org/" TargetMode="External"/><Relationship Id="rId181" Type="http://schemas.openxmlformats.org/officeDocument/2006/relationships/hyperlink" Target="https://bioportal.bioontology.org/" TargetMode="External"/><Relationship Id="rId216" Type="http://schemas.openxmlformats.org/officeDocument/2006/relationships/hyperlink" Target="https://link.springer.com/" TargetMode="External"/><Relationship Id="rId237" Type="http://schemas.openxmlformats.org/officeDocument/2006/relationships/hyperlink" Target="https://orcid.org/0009-0005-2800-4833" TargetMode="External"/><Relationship Id="rId258" Type="http://schemas.openxmlformats.org/officeDocument/2006/relationships/hyperlink" Target="http://draw.io" TargetMode="External"/><Relationship Id="rId22" Type="http://schemas.openxmlformats.org/officeDocument/2006/relationships/hyperlink" Target="https://fairsharing.org/" TargetMode="External"/><Relationship Id="rId43" Type="http://schemas.openxmlformats.org/officeDocument/2006/relationships/hyperlink" Target="https://rocrate-validator.readthedocs.io/en/stable/" TargetMode="External"/><Relationship Id="rId64" Type="http://schemas.openxmlformats.org/officeDocument/2006/relationships/hyperlink" Target="https://ds-wizard.org/" TargetMode="External"/><Relationship Id="rId118" Type="http://schemas.openxmlformats.org/officeDocument/2006/relationships/hyperlink" Target="https://json-schema.org/" TargetMode="External"/><Relationship Id="rId139" Type="http://schemas.openxmlformats.org/officeDocument/2006/relationships/hyperlink" Target="https://www.rd-alliance.org/about/" TargetMode="External"/><Relationship Id="rId85" Type="http://schemas.openxmlformats.org/officeDocument/2006/relationships/image" Target="media/image9.png"/><Relationship Id="rId150" Type="http://schemas.openxmlformats.org/officeDocument/2006/relationships/hyperlink" Target="https://doi.org/10.1038/sdata.2016.18" TargetMode="External"/><Relationship Id="rId171" Type="http://schemas.openxmlformats.org/officeDocument/2006/relationships/hyperlink" Target="https://doi.org/10.1016/j.cels.2019.09.011" TargetMode="External"/><Relationship Id="rId192" Type="http://schemas.openxmlformats.org/officeDocument/2006/relationships/hyperlink" Target="https://www.w3.org/TR/prov-o/" TargetMode="External"/><Relationship Id="rId206" Type="http://schemas.openxmlformats.org/officeDocument/2006/relationships/hyperlink" Target="https://osai.dome-ml.org/guidelines" TargetMode="External"/><Relationship Id="rId227" Type="http://schemas.openxmlformats.org/officeDocument/2006/relationships/hyperlink" Target="https://orcid.org/0000-0002-0890-8887" TargetMode="External"/><Relationship Id="rId248" Type="http://schemas.openxmlformats.org/officeDocument/2006/relationships/hyperlink" Target="https://orcid.org/0000-0002-7800-6002" TargetMode="External"/><Relationship Id="rId269" Type="http://schemas.openxmlformats.org/officeDocument/2006/relationships/theme" Target="theme/theme1.xml"/><Relationship Id="rId12" Type="http://schemas.openxmlformats.org/officeDocument/2006/relationships/hyperlink" Target="https://www.rd-alliance.org/value_rda/rda-and-artificial-intelligence/global-community-priorities-for-agentic-ai-development/" TargetMode="External"/><Relationship Id="rId33" Type="http://schemas.openxmlformats.org/officeDocument/2006/relationships/hyperlink" Target="https://www.re3data.org/" TargetMode="External"/><Relationship Id="rId108" Type="http://schemas.openxmlformats.org/officeDocument/2006/relationships/hyperlink" Target="https://fairdo.org/" TargetMode="External"/><Relationship Id="rId129" Type="http://schemas.openxmlformats.org/officeDocument/2006/relationships/hyperlink" Target="https://opensource.org/licenses" TargetMode="External"/><Relationship Id="rId54" Type="http://schemas.openxmlformats.org/officeDocument/2006/relationships/hyperlink" Target="https://catalogue.fair-impact.eu/resources/foops" TargetMode="External"/><Relationship Id="rId75" Type="http://schemas.openxmlformats.org/officeDocument/2006/relationships/hyperlink" Target="https://ror.org/" TargetMode="External"/><Relationship Id="rId96" Type="http://schemas.openxmlformats.org/officeDocument/2006/relationships/hyperlink" Target="https://ico.org.uk/for-organisations/uk-gdpr-guidance-and-resources/data-protection-principles/a-guide-to-the-data-protection-principles/the-principles/purpose-limitation/" TargetMode="External"/><Relationship Id="rId140" Type="http://schemas.openxmlformats.org/officeDocument/2006/relationships/hyperlink" Target="https://www.rd-alliance.org/about-rda/our-principles/" TargetMode="External"/><Relationship Id="rId161" Type="http://schemas.openxmlformats.org/officeDocument/2006/relationships/hyperlink" Target="https://fairsharing.org/" TargetMode="External"/><Relationship Id="rId182" Type="http://schemas.openxmlformats.org/officeDocument/2006/relationships/hyperlink" Target="https://agroportal.lirmm.fr/" TargetMode="External"/><Relationship Id="rId217" Type="http://schemas.openxmlformats.org/officeDocument/2006/relationships/hyperlink" Target="https://www.elsevier.com/en-gb" TargetMode="External"/><Relationship Id="rId6" Type="http://schemas.openxmlformats.org/officeDocument/2006/relationships/footnotes" Target="footnotes.xml"/><Relationship Id="rId238" Type="http://schemas.openxmlformats.org/officeDocument/2006/relationships/hyperlink" Target="https://orcid.org/0000-0002-7702-4495" TargetMode="External"/><Relationship Id="rId259" Type="http://schemas.openxmlformats.org/officeDocument/2006/relationships/hyperlink" Target="https://miro.com/" TargetMode="External"/><Relationship Id="rId23" Type="http://schemas.openxmlformats.org/officeDocument/2006/relationships/hyperlink" Target="https://fairassist.org/" TargetMode="External"/><Relationship Id="rId119" Type="http://schemas.openxmlformats.org/officeDocument/2006/relationships/hyperlink" Target="https://www.w3.org/standards/semanticweb/" TargetMode="External"/><Relationship Id="rId44" Type="http://schemas.openxmlformats.org/officeDocument/2006/relationships/hyperlink" Target="https://frictionlessdata.io/" TargetMode="External"/><Relationship Id="rId65" Type="http://schemas.openxmlformats.org/officeDocument/2006/relationships/hyperlink" Target="https://argos.openaire.eu/home" TargetMode="External"/><Relationship Id="rId86" Type="http://schemas.openxmlformats.org/officeDocument/2006/relationships/image" Target="media/image10.png"/><Relationship Id="rId130" Type="http://schemas.openxmlformats.org/officeDocument/2006/relationships/hyperlink" Target="https://orcid.org/" TargetMode="External"/><Relationship Id="rId151" Type="http://schemas.openxmlformats.org/officeDocument/2006/relationships/hyperlink" Target="https://www.gida-global.org/care" TargetMode="External"/><Relationship Id="rId172" Type="http://schemas.openxmlformats.org/officeDocument/2006/relationships/hyperlink" Target="https://fairsharing.org/FAIRsharing.e4d13f" TargetMode="External"/><Relationship Id="rId193" Type="http://schemas.openxmlformats.org/officeDocument/2006/relationships/hyperlink" Target="https://doi.org/10.1109/eScience65000.2025.00093" TargetMode="External"/><Relationship Id="rId207" Type="http://schemas.openxmlformats.org/officeDocument/2006/relationships/hyperlink" Target="https://osai.dome-ml.org/ai-ecosystem" TargetMode="External"/><Relationship Id="rId228" Type="http://schemas.openxmlformats.org/officeDocument/2006/relationships/hyperlink" Target="https://orcid.org/0000-0002-8741-7823" TargetMode="External"/><Relationship Id="rId249" Type="http://schemas.openxmlformats.org/officeDocument/2006/relationships/hyperlink" Target="https://orcid.org/0000-0002-0336-5035" TargetMode="External"/><Relationship Id="rId13" Type="http://schemas.openxmlformats.org/officeDocument/2006/relationships/hyperlink" Target="https://www.rd-alliance.org/" TargetMode="External"/><Relationship Id="rId109" Type="http://schemas.openxmlformats.org/officeDocument/2006/relationships/hyperlink" Target="https://doi.org/10.1038/sdata.2016.18" TargetMode="External"/><Relationship Id="rId260" Type="http://schemas.openxmlformats.org/officeDocument/2006/relationships/hyperlink" Target="http://claude.ai" TargetMode="External"/><Relationship Id="rId34" Type="http://schemas.openxmlformats.org/officeDocument/2006/relationships/hyperlink" Target="https://finder.research.cornell.edu/" TargetMode="External"/><Relationship Id="rId55" Type="http://schemas.openxmlformats.org/officeDocument/2006/relationships/hyperlink" Target="http://fairassist.org" TargetMode="External"/><Relationship Id="rId76" Type="http://schemas.openxmlformats.org/officeDocument/2006/relationships/hyperlink" Target="http://cyber.gov.au/business-government/secure-design/artificial-intelligence/careful-adoption-of-agentic-ai-services" TargetMode="External"/><Relationship Id="rId97" Type="http://schemas.openxmlformats.org/officeDocument/2006/relationships/hyperlink" Target="https://developer.mozilla.org/en-US/docs/Learn/JavaScript/Client-side_web_APIs/Introduction" TargetMode="External"/><Relationship Id="rId120" Type="http://schemas.openxmlformats.org/officeDocument/2006/relationships/hyperlink" Target="https://www.unesco.org/en/open-science/about" TargetMode="External"/><Relationship Id="rId141" Type="http://schemas.openxmlformats.org/officeDocument/2006/relationships/hyperlink" Target="https://www.rd-alliance.org/groups/data-director-agentic-ai-blueprint/activity/" TargetMode="External"/><Relationship Id="rId7" Type="http://schemas.openxmlformats.org/officeDocument/2006/relationships/endnotes" Target="endnotes.xml"/><Relationship Id="rId162" Type="http://schemas.openxmlformats.org/officeDocument/2006/relationships/hyperlink" Target="https://mcp.fairsharing.org/" TargetMode="External"/><Relationship Id="rId183" Type="http://schemas.openxmlformats.org/officeDocument/2006/relationships/hyperlink" Target="https://rocrate-validator.readthedocs.io/en/stable/" TargetMode="External"/><Relationship Id="rId218" Type="http://schemas.openxmlformats.org/officeDocument/2006/relationships/hyperlink" Target="https://www.mdpi.com/" TargetMode="External"/><Relationship Id="rId239" Type="http://schemas.openxmlformats.org/officeDocument/2006/relationships/hyperlink" Target="https://orcid.org/0000-0003-0339-3535" TargetMode="External"/><Relationship Id="rId250" Type="http://schemas.openxmlformats.org/officeDocument/2006/relationships/hyperlink" Target="https://orcid.org/0000-0002-8911-3081" TargetMode="External"/><Relationship Id="rId24" Type="http://schemas.openxmlformats.org/officeDocument/2006/relationships/hyperlink" Target="https://www.w3.org/TR/prov-o/" TargetMode="External"/><Relationship Id="rId45" Type="http://schemas.openxmlformats.org/officeDocument/2006/relationships/hyperlink" Target="https://json-schema.org/" TargetMode="External"/><Relationship Id="rId66" Type="http://schemas.openxmlformats.org/officeDocument/2006/relationships/hyperlink" Target="https://damap.org/" TargetMode="External"/><Relationship Id="rId87" Type="http://schemas.openxmlformats.org/officeDocument/2006/relationships/hyperlink" Target="https://docs.ostrails.eu/" TargetMode="External"/><Relationship Id="rId110" Type="http://schemas.openxmlformats.org/officeDocument/2006/relationships/hyperlink" Target="https://docs.sandbox.eosc-beyond.eu/EOSC%20Architecture/)%22" TargetMode="External"/><Relationship Id="rId131" Type="http://schemas.openxmlformats.org/officeDocument/2006/relationships/hyperlink" Target="https://op.europa.eu/en/publication-detail/-/publication/35c5ca10-1417-11eb-b57e-01aa75ed71a1/language-en" TargetMode="External"/><Relationship Id="rId152" Type="http://schemas.openxmlformats.org/officeDocument/2006/relationships/hyperlink" Target="https://www.gida-global.org/" TargetMode="External"/><Relationship Id="rId173" Type="http://schemas.openxmlformats.org/officeDocument/2006/relationships/hyperlink" Target="https://fairsharing.org/5742" TargetMode="External"/><Relationship Id="rId194" Type="http://schemas.openxmlformats.org/officeDocument/2006/relationships/hyperlink" Target="https://www.w3.org/TR/odrl-model/" TargetMode="External"/><Relationship Id="rId208" Type="http://schemas.openxmlformats.org/officeDocument/2006/relationships/hyperlink" Target="https://oecd.ai/en/footprint" TargetMode="External"/><Relationship Id="rId229" Type="http://schemas.openxmlformats.org/officeDocument/2006/relationships/hyperlink" Target="https://orcid.org/0000-0003-2534-0063" TargetMode="External"/><Relationship Id="rId240" Type="http://schemas.openxmlformats.org/officeDocument/2006/relationships/hyperlink" Target="https://orcid.org/0000-0002-6605-5368" TargetMode="External"/><Relationship Id="rId261" Type="http://schemas.openxmlformats.org/officeDocument/2006/relationships/hyperlink" Target="https://www.rd-alliance.org/about/code-of-conduct/rda-guidance-on-ai-tools-usage/" TargetMode="External"/><Relationship Id="rId14" Type="http://schemas.openxmlformats.org/officeDocument/2006/relationships/hyperlink" Target="https://www.microsoft.com/" TargetMode="External"/><Relationship Id="rId35" Type="http://schemas.openxmlformats.org/officeDocument/2006/relationships/hyperlink" Target="https://www.ebi.ac.uk/ols/" TargetMode="External"/><Relationship Id="rId56" Type="http://schemas.openxmlformats.org/officeDocument/2006/relationships/hyperlink" Target="https://fairsharing.org/5742" TargetMode="External"/><Relationship Id="rId77" Type="http://schemas.openxmlformats.org/officeDocument/2006/relationships/hyperlink" Target="https://miro.com/app/board/uXjVHXDM1Ig=/?share_link_id=139484060485" TargetMode="External"/><Relationship Id="rId100" Type="http://schemas.openxmlformats.org/officeDocument/2006/relationships/hyperlink" Target="https://www.eurocris.org/" TargetMode="External"/><Relationship Id="rId8" Type="http://schemas.openxmlformats.org/officeDocument/2006/relationships/image" Target="media/image1.png"/><Relationship Id="rId98" Type="http://schemas.openxmlformats.org/officeDocument/2006/relationships/hyperlink" Target="https://doi.org/10.5334/dsj-2020-043" TargetMode="External"/><Relationship Id="rId121" Type="http://schemas.openxmlformats.org/officeDocument/2006/relationships/hyperlink" Target="https://www.dublincore.org/specifications/dublin-core/dcmi-terms/" TargetMode="External"/><Relationship Id="rId142" Type="http://schemas.openxmlformats.org/officeDocument/2006/relationships/hyperlink" Target="https://www.rd-alliance.org/value_rda/rda-and-artificial-intelligence/global-community-priorities-for-agentic-ai-development/" TargetMode="External"/><Relationship Id="rId163" Type="http://schemas.openxmlformats.org/officeDocument/2006/relationships/hyperlink" Target="https://www.re3data.org/" TargetMode="External"/><Relationship Id="rId184" Type="http://schemas.openxmlformats.org/officeDocument/2006/relationships/hyperlink" Target="https://frictionlessdata.io/" TargetMode="External"/><Relationship Id="rId219" Type="http://schemas.openxmlformats.org/officeDocument/2006/relationships/hyperlink" Target="https://www.w3.org/" TargetMode="External"/><Relationship Id="rId230" Type="http://schemas.openxmlformats.org/officeDocument/2006/relationships/hyperlink" Target="https://orcid.org/0000-0002-4369-196X" TargetMode="External"/><Relationship Id="rId251" Type="http://schemas.openxmlformats.org/officeDocument/2006/relationships/hyperlink" Target="https://orcid.org/0000-0001-9447-9830" TargetMode="External"/><Relationship Id="rId25" Type="http://schemas.openxmlformats.org/officeDocument/2006/relationships/hyperlink" Target="https://credit.niso.org/" TargetMode="External"/><Relationship Id="rId46" Type="http://schemas.openxmlformats.org/officeDocument/2006/relationships/hyperlink" Target="https://hackolade.com/help/XSDXMLSchemaDefinition.html" TargetMode="External"/><Relationship Id="rId67" Type="http://schemas.openxmlformats.org/officeDocument/2006/relationships/hyperlink" Target="https://www.rd-alliance.org/groups/common-application-programming-interface-api-for-machine-actionable-data-management-plans-madmps/activity/" TargetMode="External"/><Relationship Id="rId88" Type="http://schemas.openxmlformats.org/officeDocument/2006/relationships/hyperlink" Target="https://www.go-fair.org/how-to-go-fair/fair-implementation-profile/" TargetMode="External"/><Relationship Id="rId111" Type="http://schemas.openxmlformats.org/officeDocument/2006/relationships/hyperlink" Target="https://op.europa.eu/en/publication-detail/-/publication/35c5ca10-1417-11eb-b57e-01aa75ed71a1/language-en" TargetMode="External"/><Relationship Id="rId132" Type="http://schemas.openxmlformats.org/officeDocument/2006/relationships/hyperlink" Target="https://www.w3.org/TR/prov-o/" TargetMode="External"/><Relationship Id="rId153" Type="http://schemas.openxmlformats.org/officeDocument/2006/relationships/hyperlink" Target="https://localcontexts.org/" TargetMode="External"/><Relationship Id="rId174" Type="http://schemas.openxmlformats.org/officeDocument/2006/relationships/hyperlink" Target="https://docs.ostrails.eu/" TargetMode="External"/><Relationship Id="rId195" Type="http://schemas.openxmlformats.org/officeDocument/2006/relationships/hyperlink" Target="http://odrl.dev.codata.org/demo" TargetMode="External"/><Relationship Id="rId209" Type="http://schemas.openxmlformats.org/officeDocument/2006/relationships/hyperlink" Target="https://fas.org/publication/measuring-and-standardizing-ais-energy-footprint/" TargetMode="External"/><Relationship Id="rId220" Type="http://schemas.openxmlformats.org/officeDocument/2006/relationships/hyperlink" Target="https://www.zoom.com/" TargetMode="External"/><Relationship Id="rId241" Type="http://schemas.openxmlformats.org/officeDocument/2006/relationships/hyperlink" Target="https://orcid.org/0000-0003-3078-3846" TargetMode="External"/><Relationship Id="rId15" Type="http://schemas.openxmlformats.org/officeDocument/2006/relationships/hyperlink" Target="https://doi.org/10.1038/sdata.2016.18" TargetMode="External"/><Relationship Id="rId36" Type="http://schemas.openxmlformats.org/officeDocument/2006/relationships/hyperlink" Target="https://terminology.services.base4nfdi.de/provider" TargetMode="External"/><Relationship Id="rId57" Type="http://schemas.openxmlformats.org/officeDocument/2006/relationships/hyperlink" Target="https://doi.org/10.1016/j.cels.2019.09.011" TargetMode="External"/><Relationship Id="rId262" Type="http://schemas.openxmlformats.org/officeDocument/2006/relationships/hyperlink" Target="https://www.rd-alliance.org/" TargetMode="External"/><Relationship Id="rId78" Type="http://schemas.openxmlformats.org/officeDocument/2006/relationships/image" Target="media/image4.png"/><Relationship Id="rId99" Type="http://schemas.openxmlformats.org/officeDocument/2006/relationships/hyperlink" Target="https://credit.niso.org/" TargetMode="External"/><Relationship Id="rId101" Type="http://schemas.openxmlformats.org/officeDocument/2006/relationships/hyperlink" Target="https://www.loc.gov/marc/marc2dc.html" TargetMode="External"/><Relationship Id="rId122" Type="http://schemas.openxmlformats.org/officeDocument/2006/relationships/hyperlink" Target="https://mlcommons.org/working-groups/data/croissant/" TargetMode="External"/><Relationship Id="rId143" Type="http://schemas.openxmlformats.org/officeDocument/2006/relationships/hyperlink" Target="https://www.rd-alliance.org/about/how-rda-works/" TargetMode="External"/><Relationship Id="rId164" Type="http://schemas.openxmlformats.org/officeDocument/2006/relationships/hyperlink" Target="https://finder.research.cornell.edu/" TargetMode="External"/><Relationship Id="rId185" Type="http://schemas.openxmlformats.org/officeDocument/2006/relationships/hyperlink" Target="https://json-schema.org/" TargetMode="External"/><Relationship Id="rId9" Type="http://schemas.openxmlformats.org/officeDocument/2006/relationships/header" Target="header1.xml"/><Relationship Id="rId210" Type="http://schemas.openxmlformats.org/officeDocument/2006/relationships/hyperlink" Target="https://www.nature.com/articles/s41592-026-03037-6" TargetMode="External"/><Relationship Id="rId26" Type="http://schemas.openxmlformats.org/officeDocument/2006/relationships/hyperlink" Target="https://www.rfc-editor.org/info/bcp14" TargetMode="External"/><Relationship Id="rId231" Type="http://schemas.openxmlformats.org/officeDocument/2006/relationships/hyperlink" Target="http://orcid.org/0000-0002-6893-5916" TargetMode="External"/><Relationship Id="rId252" Type="http://schemas.openxmlformats.org/officeDocument/2006/relationships/hyperlink" Target="https://orcid.org/0009-0000-9125-8813" TargetMode="External"/><Relationship Id="rId47" Type="http://schemas.openxmlformats.org/officeDocument/2006/relationships/hyperlink" Target="https://www.w3.org/TR/shacl/" TargetMode="External"/><Relationship Id="rId68" Type="http://schemas.openxmlformats.org/officeDocument/2006/relationships/hyperlink" Target="https://fairdo.org/" TargetMode="External"/><Relationship Id="rId89" Type="http://schemas.openxmlformats.org/officeDocument/2006/relationships/hyperlink" Target="http://learn.microsoft.com" TargetMode="External"/><Relationship Id="rId112" Type="http://schemas.openxmlformats.org/officeDocument/2006/relationships/hyperlink" Target="https://fairsharing.gitbook.io/fairsharing/record-sections-and-fields/general-information/globally-unique-persistent-and-resolvable-identifier-schemas" TargetMode="External"/><Relationship Id="rId133" Type="http://schemas.openxmlformats.org/officeDocument/2006/relationships/hyperlink" Target="https://aws.amazon.com/what-is/retrieval-augmented-generation/" TargetMode="External"/><Relationship Id="rId154" Type="http://schemas.openxmlformats.org/officeDocument/2006/relationships/hyperlink" Target="https://www.go-fair.org/fair-principles/" TargetMode="External"/><Relationship Id="rId175" Type="http://schemas.openxmlformats.org/officeDocument/2006/relationships/hyperlink" Target="https://blog.fairsharing.org/?p=971" TargetMode="External"/><Relationship Id="rId196" Type="http://schemas.openxmlformats.org/officeDocument/2006/relationships/hyperlink" Target="https://fairdo.org/" TargetMode="External"/><Relationship Id="rId200" Type="http://schemas.openxmlformats.org/officeDocument/2006/relationships/hyperlink" Target="https://damap.org/" TargetMode="External"/><Relationship Id="rId16" Type="http://schemas.openxmlformats.org/officeDocument/2006/relationships/hyperlink" Target="https://www.rd-alliance.org/about/how-rda-works/" TargetMode="External"/><Relationship Id="rId221" Type="http://schemas.openxmlformats.org/officeDocument/2006/relationships/hyperlink" Target="https://docs.google.com/" TargetMode="External"/><Relationship Id="rId242" Type="http://schemas.openxmlformats.org/officeDocument/2006/relationships/hyperlink" Target="https://orcid.org/0000-0001-5164-9115" TargetMode="External"/><Relationship Id="rId263" Type="http://schemas.openxmlformats.org/officeDocument/2006/relationships/hyperlink" Target="https://www.rd-alliance.org/membership/individual-membership/" TargetMode="External"/><Relationship Id="rId37" Type="http://schemas.openxmlformats.org/officeDocument/2006/relationships/hyperlink" Target="https://bioportal.bioontology.org/" TargetMode="External"/><Relationship Id="rId58" Type="http://schemas.openxmlformats.org/officeDocument/2006/relationships/hyperlink" Target="https://www.f-uji.net/" TargetMode="External"/><Relationship Id="rId79" Type="http://schemas.openxmlformats.org/officeDocument/2006/relationships/image" Target="media/image5.png"/><Relationship Id="rId102" Type="http://schemas.openxmlformats.org/officeDocument/2006/relationships/hyperlink" Target="https://the-turing-way.netlify.app/reproducible-research/rdm/rdm-metadata" TargetMode="External"/><Relationship Id="rId123" Type="http://schemas.openxmlformats.org/officeDocument/2006/relationships/hyperlink" Target="https://huggingface.co/docs/hub/model-cards" TargetMode="External"/><Relationship Id="rId144" Type="http://schemas.openxmlformats.org/officeDocument/2006/relationships/hyperlink" Target="https://www.rd-alliance.org/recommendations-and-outputs/" TargetMode="External"/><Relationship Id="rId90" Type="http://schemas.openxmlformats.org/officeDocument/2006/relationships/hyperlink" Target="https://github.com/ResearchDataAlliance" TargetMode="External"/><Relationship Id="rId165" Type="http://schemas.openxmlformats.org/officeDocument/2006/relationships/hyperlink" Target="https://www.coretrustseal.org/" TargetMode="External"/><Relationship Id="rId186" Type="http://schemas.openxmlformats.org/officeDocument/2006/relationships/hyperlink" Target="https://hackolade.com/help/XSDXMLSchemaDefinition.html" TargetMode="External"/><Relationship Id="rId211" Type="http://schemas.openxmlformats.org/officeDocument/2006/relationships/hyperlink" Target="https://www.cometadata.org/" TargetMode="External"/><Relationship Id="rId232" Type="http://schemas.openxmlformats.org/officeDocument/2006/relationships/hyperlink" Target="https://orcid.org/0000-0002-8952-8148" TargetMode="External"/><Relationship Id="rId253" Type="http://schemas.openxmlformats.org/officeDocument/2006/relationships/hyperlink" Target="https://orcid.org/0000-0002-9366-1507" TargetMode="External"/><Relationship Id="rId27" Type="http://schemas.openxmlformats.org/officeDocument/2006/relationships/hyperlink" Target="https://www.rfc-editor.org/info/bcp14" TargetMode="External"/><Relationship Id="rId48" Type="http://schemas.openxmlformats.org/officeDocument/2006/relationships/hyperlink" Target="https://huggingface.co/spaces/luisoala/croissant-checker" TargetMode="External"/><Relationship Id="rId69" Type="http://schemas.openxmlformats.org/officeDocument/2006/relationships/hyperlink" Target="https://www.cometadata.org/" TargetMode="External"/><Relationship Id="rId113" Type="http://schemas.openxmlformats.org/officeDocument/2006/relationships/hyperlink" Target="https://doi.org/10.6028/NIST.AI.600-1" TargetMode="External"/><Relationship Id="rId134" Type="http://schemas.openxmlformats.org/officeDocument/2006/relationships/hyperlink" Target="https://the-turing-way.netlify.app/reproducible-research/rdm/rdm-repository" TargetMode="External"/><Relationship Id="rId80" Type="http://schemas.openxmlformats.org/officeDocument/2006/relationships/image" Target="media/image6.png"/><Relationship Id="rId155" Type="http://schemas.openxmlformats.org/officeDocument/2006/relationships/hyperlink" Target="https://datacite.org/" TargetMode="External"/><Relationship Id="rId176" Type="http://schemas.openxmlformats.org/officeDocument/2006/relationships/hyperlink" Target="https://doi.org/10.15497/RDA00031" TargetMode="External"/><Relationship Id="rId197" Type="http://schemas.openxmlformats.org/officeDocument/2006/relationships/hyperlink" Target="https://worldfair-project.eu/cross-domain-interoperability-framework/" TargetMode="External"/><Relationship Id="rId201" Type="http://schemas.openxmlformats.org/officeDocument/2006/relationships/hyperlink" Target="https://www.cyber.gov.au/business-government/secure-design/artificial-intelligence/careful-adoption-of-agentic-ai-services" TargetMode="External"/><Relationship Id="rId222" Type="http://schemas.openxmlformats.org/officeDocument/2006/relationships/hyperlink" Target="https://www.drawio.com/" TargetMode="External"/><Relationship Id="rId243" Type="http://schemas.openxmlformats.org/officeDocument/2006/relationships/hyperlink" Target="https://orcid.org/0000-0002-0199-994X" TargetMode="External"/><Relationship Id="rId264" Type="http://schemas.openxmlformats.org/officeDocument/2006/relationships/hyperlink" Target="https://www.rd-alliance.org/membership/organisational-membership/" TargetMode="External"/><Relationship Id="rId17" Type="http://schemas.openxmlformats.org/officeDocument/2006/relationships/hyperlink" Target="https://www.rd-alliance.org/wp-content/uploads/2024/03/RDA-Private-Sector-Engagement-Framework-v1.0.pdf" TargetMode="External"/><Relationship Id="rId38" Type="http://schemas.openxmlformats.org/officeDocument/2006/relationships/hyperlink" Target="https://agroportal.lirmm.fr/)" TargetMode="External"/><Relationship Id="rId59" Type="http://schemas.openxmlformats.org/officeDocument/2006/relationships/hyperlink" Target="https://fairdo.org/" TargetMode="External"/><Relationship Id="rId103" Type="http://schemas.openxmlformats.org/officeDocument/2006/relationships/hyperlink" Target="https://www.oecd.org/en/publications/oecd-principles-and-guidelines-for-access-to-research-data-from-public-funding_9789264034020-en.html" TargetMode="External"/><Relationship Id="rId124" Type="http://schemas.openxmlformats.org/officeDocument/2006/relationships/hyperlink" Target="https://nanopub.net/" TargetMode="External"/><Relationship Id="rId70" Type="http://schemas.openxmlformats.org/officeDocument/2006/relationships/hyperlink" Target="https://www.w3.org/TR/prov-o/" TargetMode="External"/><Relationship Id="rId91" Type="http://schemas.openxmlformats.org/officeDocument/2006/relationships/hyperlink" Target="https://zenodo.org/" TargetMode="External"/><Relationship Id="rId145" Type="http://schemas.openxmlformats.org/officeDocument/2006/relationships/hyperlink" Target="https://www.rd-alliance.org/wp-content/uploads/2024/03/RDA-Private-Sector-Engagement-Framework-v1.0.pdf" TargetMode="External"/><Relationship Id="rId166" Type="http://schemas.openxmlformats.org/officeDocument/2006/relationships/hyperlink" Target="https://fairassist.org/" TargetMode="External"/><Relationship Id="rId187" Type="http://schemas.openxmlformats.org/officeDocument/2006/relationships/hyperlink" Target="https://www.w3.org/TR/shacl/" TargetMode="External"/><Relationship Id="rId1" Type="http://schemas.openxmlformats.org/officeDocument/2006/relationships/customXml" Target="../customXml/item1.xml"/><Relationship Id="rId212" Type="http://schemas.openxmlformats.org/officeDocument/2006/relationships/hyperlink" Target="https://www.micropublication.org/journals/biology/" TargetMode="External"/><Relationship Id="rId233" Type="http://schemas.openxmlformats.org/officeDocument/2006/relationships/hyperlink" Target="https://orcid.org/0009-0000-1292-6642" TargetMode="External"/><Relationship Id="rId254" Type="http://schemas.openxmlformats.org/officeDocument/2006/relationships/hyperlink" Target="https://orcid.org/0000-0002-5762-6747" TargetMode="External"/><Relationship Id="rId28" Type="http://schemas.openxmlformats.org/officeDocument/2006/relationships/hyperlink" Target="https://fairsharing.org/" TargetMode="External"/><Relationship Id="rId49" Type="http://schemas.openxmlformats.org/officeDocument/2006/relationships/hyperlink" Target="https://doi.org/10.1007/978-3-319-68204-4_10" TargetMode="External"/><Relationship Id="rId114" Type="http://schemas.openxmlformats.org/officeDocument/2006/relationships/hyperlink" Target="https://www.handle.net/" TargetMode="External"/><Relationship Id="rId60" Type="http://schemas.openxmlformats.org/officeDocument/2006/relationships/hyperlink" Target="https://worldfair-project.eu/cross-domain-interoperability-framework/" TargetMode="External"/><Relationship Id="rId81" Type="http://schemas.openxmlformats.org/officeDocument/2006/relationships/image" Target="media/image7.png"/><Relationship Id="rId135" Type="http://schemas.openxmlformats.org/officeDocument/2006/relationships/hyperlink" Target="https://ror.org/" TargetMode="External"/><Relationship Id="rId156" Type="http://schemas.openxmlformats.org/officeDocument/2006/relationships/hyperlink" Target="https://fairsharing.org/search?fairsharingRegistry=Standard" TargetMode="External"/><Relationship Id="rId177" Type="http://schemas.openxmlformats.org/officeDocument/2006/relationships/hyperlink" Target="https://fair2.ai/spec" TargetMode="External"/><Relationship Id="rId198" Type="http://schemas.openxmlformats.org/officeDocument/2006/relationships/hyperlink" Target="https://ds-wizard.org/" TargetMode="External"/><Relationship Id="rId202" Type="http://schemas.openxmlformats.org/officeDocument/2006/relationships/hyperlink" Target="https://aac.slolab.ai/" TargetMode="External"/><Relationship Id="rId223" Type="http://schemas.openxmlformats.org/officeDocument/2006/relationships/hyperlink" Target="https://miro.com/" TargetMode="External"/><Relationship Id="rId244" Type="http://schemas.openxmlformats.org/officeDocument/2006/relationships/hyperlink" Target="https://orcid.org/0000-0002-8362-9474" TargetMode="External"/><Relationship Id="rId18" Type="http://schemas.openxmlformats.org/officeDocument/2006/relationships/hyperlink" Target="https://www.rd-alliance.org/recommendations-and-outputs/" TargetMode="External"/><Relationship Id="rId39" Type="http://schemas.openxmlformats.org/officeDocument/2006/relationships/hyperlink" Target="https://www.gida-global.org/" TargetMode="External"/><Relationship Id="rId265" Type="http://schemas.openxmlformats.org/officeDocument/2006/relationships/hyperlink" Target="https://www.microsoft.com/" TargetMode="External"/><Relationship Id="rId50" Type="http://schemas.openxmlformats.org/officeDocument/2006/relationships/hyperlink" Target="https://ontoportal.org/" TargetMode="External"/><Relationship Id="rId104" Type="http://schemas.openxmlformats.org/officeDocument/2006/relationships/hyperlink" Target="https://vocabularies.coar-repositories.org/resource_types/" TargetMode="External"/><Relationship Id="rId125" Type="http://schemas.openxmlformats.org/officeDocument/2006/relationships/hyperlink" Target="https://www.nist.gov/" TargetMode="External"/><Relationship Id="rId146" Type="http://schemas.openxmlformats.org/officeDocument/2006/relationships/hyperlink" Target="https://www.rd-alliance.org/about/code-of-conduct/rda-guidance-on-ai-tools-usage/" TargetMode="External"/><Relationship Id="rId167" Type="http://schemas.openxmlformats.org/officeDocument/2006/relationships/hyperlink" Target="https://www.f-uji.net/" TargetMode="External"/><Relationship Id="rId188" Type="http://schemas.openxmlformats.org/officeDocument/2006/relationships/hyperlink" Target="https://huggingface.co/spaces/luisoala/croissant-checker" TargetMode="External"/><Relationship Id="rId71" Type="http://schemas.openxmlformats.org/officeDocument/2006/relationships/hyperlink" Target="http://doi.org/10.1109/eScience65000.2025.00093" TargetMode="External"/><Relationship Id="rId92" Type="http://schemas.openxmlformats.org/officeDocument/2006/relationships/hyperlink" Target="https://link.springer.com/" TargetMode="External"/><Relationship Id="rId213" Type="http://schemas.openxmlformats.org/officeDocument/2006/relationships/hyperlink" Target="https://www.csiro.au/" TargetMode="External"/><Relationship Id="rId234" Type="http://schemas.openxmlformats.org/officeDocument/2006/relationships/hyperlink" Target="https://orcid.org/0000-0002-1985-2145" TargetMode="External"/><Relationship Id="rId2" Type="http://schemas.openxmlformats.org/officeDocument/2006/relationships/numbering" Target="numbering.xml"/><Relationship Id="rId29" Type="http://schemas.openxmlformats.org/officeDocument/2006/relationships/hyperlink" Target="https://mcp.fairsharing.org/" TargetMode="External"/><Relationship Id="rId255" Type="http://schemas.openxmlformats.org/officeDocument/2006/relationships/hyperlink" Target="https://www.egi.eu/services/research/" TargetMode="External"/><Relationship Id="rId40" Type="http://schemas.openxmlformats.org/officeDocument/2006/relationships/hyperlink" Target="https://doi.org/10.15497/RDA00031" TargetMode="External"/><Relationship Id="rId115" Type="http://schemas.openxmlformats.org/officeDocument/2006/relationships/hyperlink" Target="https://learn.microsoft.com/en-us/devops/deliver/what-is-infrastructure-as-code" TargetMode="External"/><Relationship Id="rId136" Type="http://schemas.openxmlformats.org/officeDocument/2006/relationships/hyperlink" Target="https://www.w3.org/TR/shacl/" TargetMode="External"/><Relationship Id="rId157" Type="http://schemas.openxmlformats.org/officeDocument/2006/relationships/hyperlink" Target="https://data.europa.eu/doi/10.2777/926037" TargetMode="External"/><Relationship Id="rId178" Type="http://schemas.openxmlformats.org/officeDocument/2006/relationships/hyperlink" Target="https://www.ebi.ac.uk/ols4" TargetMode="External"/><Relationship Id="rId61" Type="http://schemas.openxmlformats.org/officeDocument/2006/relationships/hyperlink" Target="https://datacite.org/" TargetMode="External"/><Relationship Id="rId82" Type="http://schemas.openxmlformats.org/officeDocument/2006/relationships/image" Target="media/image8.png"/><Relationship Id="rId199" Type="http://schemas.openxmlformats.org/officeDocument/2006/relationships/hyperlink" Target="https://argos.openaire.eu/home" TargetMode="External"/><Relationship Id="rId203" Type="http://schemas.openxmlformats.org/officeDocument/2006/relationships/hyperlink" Target="http://arxiv.org/abs/2602.15090" TargetMode="External"/><Relationship Id="rId19" Type="http://schemas.openxmlformats.org/officeDocument/2006/relationships/hyperlink" Target="https://doi.org/10.5334/dsj-2020-043" TargetMode="External"/><Relationship Id="rId224" Type="http://schemas.openxmlformats.org/officeDocument/2006/relationships/hyperlink" Target="https://claude.ai/new" TargetMode="External"/><Relationship Id="rId245" Type="http://schemas.openxmlformats.org/officeDocument/2006/relationships/hyperlink" Target="https://orcid.org/0000-0001-5437-6706" TargetMode="External"/><Relationship Id="rId266" Type="http://schemas.openxmlformats.org/officeDocument/2006/relationships/hyperlink" Target="mailto:secretariat@rda-foundation.org" TargetMode="External"/><Relationship Id="rId30" Type="http://schemas.openxmlformats.org/officeDocument/2006/relationships/comments" Target="comments.xml"/><Relationship Id="rId105" Type="http://schemas.openxmlformats.org/officeDocument/2006/relationships/hyperlink" Target="https://www.doi.org/the-identifier/what-is-a-doi/" TargetMode="External"/><Relationship Id="rId126" Type="http://schemas.openxmlformats.org/officeDocument/2006/relationships/hyperlink" Target="https://www.w3.org/TR/odrl-model/" TargetMode="External"/><Relationship Id="rId147" Type="http://schemas.openxmlformats.org/officeDocument/2006/relationships/hyperlink" Target="https://www.rd-alliance.org/system/files/RDA-DC-Recommendations_151020.pdf" TargetMode="External"/><Relationship Id="rId168" Type="http://schemas.openxmlformats.org/officeDocument/2006/relationships/hyperlink" Target="https://github.com/EOSC-synergy/FAIR_eva" TargetMode="External"/><Relationship Id="rId51" Type="http://schemas.openxmlformats.org/officeDocument/2006/relationships/hyperlink" Target="https://bioportal.bioontology.org/" TargetMode="External"/><Relationship Id="rId72" Type="http://schemas.openxmlformats.org/officeDocument/2006/relationships/hyperlink" Target="http://doi.org/10.1109/eScience65000.2025.00093" TargetMode="External"/><Relationship Id="rId93" Type="http://schemas.openxmlformats.org/officeDocument/2006/relationships/hyperlink" Target="https://www.elsevier.com/en-gb" TargetMode="External"/><Relationship Id="rId189" Type="http://schemas.openxmlformats.org/officeDocument/2006/relationships/hyperlink" Target="https://metadatacenter.org/" TargetMode="External"/><Relationship Id="rId3" Type="http://schemas.openxmlformats.org/officeDocument/2006/relationships/styles" Target="styles.xml"/><Relationship Id="rId214" Type="http://schemas.openxmlformats.org/officeDocument/2006/relationships/hyperlink" Target="https://github.com/ResearchDataAlliance" TargetMode="External"/><Relationship Id="rId235" Type="http://schemas.openxmlformats.org/officeDocument/2006/relationships/hyperlink" Target="https://orcid.org/0000-0001-8733-1117" TargetMode="External"/><Relationship Id="rId256" Type="http://schemas.openxmlformats.org/officeDocument/2006/relationships/hyperlink" Target="https://www.zoom.com/" TargetMode="External"/><Relationship Id="rId116" Type="http://schemas.openxmlformats.org/officeDocument/2006/relationships/hyperlink" Target="https://www.who.int/teams/health-ethics-governance/governance/research" TargetMode="External"/><Relationship Id="rId137" Type="http://schemas.openxmlformats.org/officeDocument/2006/relationships/hyperlink" Target="https://www.w3.org/WAI/standards-guidelines/wcag/" TargetMode="External"/><Relationship Id="rId158" Type="http://schemas.openxmlformats.org/officeDocument/2006/relationships/hyperlink" Target="https://www.w3.org/TR/did-1.1/" TargetMode="External"/><Relationship Id="rId20" Type="http://schemas.openxmlformats.org/officeDocument/2006/relationships/hyperlink" Target="https://localcontexts.org/" TargetMode="External"/><Relationship Id="rId41" Type="http://schemas.openxmlformats.org/officeDocument/2006/relationships/hyperlink" Target="http://fair2.ai/spec" TargetMode="External"/><Relationship Id="rId62" Type="http://schemas.openxmlformats.org/officeDocument/2006/relationships/hyperlink" Target="https://fairsharing.org/search?fairsharingRegistry=Standard&amp;recordType=identifier_schema&amp;page=1" TargetMode="External"/><Relationship Id="rId83" Type="http://schemas.openxmlformats.org/officeDocument/2006/relationships/header" Target="header3.xml"/><Relationship Id="rId179" Type="http://schemas.openxmlformats.org/officeDocument/2006/relationships/hyperlink" Target="https://terminology.services.base4nfdi.de/provider" TargetMode="External"/><Relationship Id="rId190" Type="http://schemas.openxmlformats.org/officeDocument/2006/relationships/hyperlink" Target="https://skosmos.org/" TargetMode="External"/><Relationship Id="rId204" Type="http://schemas.openxmlformats.org/officeDocument/2006/relationships/hyperlink" Target="https://arxiv.org/abs/2602.20292" TargetMode="External"/><Relationship Id="rId225" Type="http://schemas.openxmlformats.org/officeDocument/2006/relationships/hyperlink" Target="https://learn.microsoft.com/en-gb/" TargetMode="External"/><Relationship Id="rId246" Type="http://schemas.openxmlformats.org/officeDocument/2006/relationships/hyperlink" Target="https://orcid.org/0009-0002-6260-1007" TargetMode="External"/><Relationship Id="rId267" Type="http://schemas.openxmlformats.org/officeDocument/2006/relationships/fontTable" Target="fontTable.xml"/><Relationship Id="rId106" Type="http://schemas.openxmlformats.org/officeDocument/2006/relationships/hyperlink" Target="https://www.dublincore.org/specifications/dublin-core/dcmi-terms/" TargetMode="External"/><Relationship Id="rId127" Type="http://schemas.openxmlformats.org/officeDocument/2006/relationships/hyperlink" Target="https://www.w3.org/standards/semanticweb/ontology" TargetMode="External"/><Relationship Id="rId10" Type="http://schemas.openxmlformats.org/officeDocument/2006/relationships/header" Target="header2.xml"/><Relationship Id="rId31" Type="http://schemas.microsoft.com/office/2011/relationships/commentsExtended" Target="commentsExtended.xml"/><Relationship Id="rId52" Type="http://schemas.openxmlformats.org/officeDocument/2006/relationships/hyperlink" Target="https://skosmos.org/" TargetMode="External"/><Relationship Id="rId73" Type="http://schemas.openxmlformats.org/officeDocument/2006/relationships/hyperlink" Target="https://github.com/HPCI-Lab/yProv" TargetMode="External"/><Relationship Id="rId94" Type="http://schemas.openxmlformats.org/officeDocument/2006/relationships/hyperlink" Target="https://www.mdpi.com/" TargetMode="External"/><Relationship Id="rId148" Type="http://schemas.openxmlformats.org/officeDocument/2006/relationships/hyperlink" Target="https://www.rd-alliance.org/groups/common-application-programming-interface-api-for-machine-actionable-data-management-plans-madmps/activity/" TargetMode="External"/><Relationship Id="rId169" Type="http://schemas.openxmlformats.org/officeDocument/2006/relationships/hyperlink" Target="https://fair-checker.france-bioinformatique.fr/" TargetMode="External"/><Relationship Id="rId4" Type="http://schemas.openxmlformats.org/officeDocument/2006/relationships/settings" Target="settings.xml"/><Relationship Id="rId180" Type="http://schemas.openxmlformats.org/officeDocument/2006/relationships/hyperlink" Target="https://ontoportal.org/" TargetMode="External"/><Relationship Id="rId215" Type="http://schemas.openxmlformats.org/officeDocument/2006/relationships/hyperlink" Target="https://zenodo.org/" TargetMode="External"/><Relationship Id="rId236" Type="http://schemas.openxmlformats.org/officeDocument/2006/relationships/hyperlink" Target="https://orcid.org/0000-0003-4945-839X" TargetMode="External"/><Relationship Id="rId257" Type="http://schemas.openxmlformats.org/officeDocument/2006/relationships/hyperlink" Target="https://docs.google.com/" TargetMode="External"/><Relationship Id="rId42" Type="http://schemas.openxmlformats.org/officeDocument/2006/relationships/hyperlink" Target="https://fairsharing.org/" TargetMode="External"/><Relationship Id="rId84" Type="http://schemas.openxmlformats.org/officeDocument/2006/relationships/footer" Target="footer1.xml"/><Relationship Id="rId138" Type="http://schemas.openxmlformats.org/officeDocument/2006/relationships/hyperlink" Target="https://www.w3.org/XML/Schema" TargetMode="External"/><Relationship Id="rId191" Type="http://schemas.openxmlformats.org/officeDocument/2006/relationships/hyperlink" Target="https://catalogue.fair-impact.eu/resources/foops" TargetMode="External"/><Relationship Id="rId205" Type="http://schemas.openxmlformats.org/officeDocument/2006/relationships/hyperlink" Target="https://arxiv.org/abs/2510.24383v1" TargetMode="External"/><Relationship Id="rId247" Type="http://schemas.openxmlformats.org/officeDocument/2006/relationships/hyperlink" Target="https://orcid.org/0000-0002-3852-6951" TargetMode="External"/><Relationship Id="rId107" Type="http://schemas.openxmlformats.org/officeDocument/2006/relationships/hyperlink" Target="https://www.iso.org/standard/74846.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6" Type="http://schemas.openxmlformats.org/officeDocument/2006/relationships/hyperlink" Target="https://www.gida-global.org/" TargetMode="External"/><Relationship Id="rId21" Type="http://schemas.openxmlformats.org/officeDocument/2006/relationships/hyperlink" Target="https://finder.research.cornell.edu/" TargetMode="External"/><Relationship Id="rId42" Type="http://schemas.openxmlformats.org/officeDocument/2006/relationships/hyperlink" Target="https://www.f-uji.net/" TargetMode="External"/><Relationship Id="rId47" Type="http://schemas.openxmlformats.org/officeDocument/2006/relationships/hyperlink" Target="https://fairsharing.gitbook.io/fairsharing/record-sections-and-fields/general-information/globally-unique-persistent-and-resolvable-identifier-schemas" TargetMode="External"/><Relationship Id="rId63" Type="http://schemas.openxmlformats.org/officeDocument/2006/relationships/hyperlink" Target="https://zenodo.org/" TargetMode="External"/><Relationship Id="rId68" Type="http://schemas.openxmlformats.org/officeDocument/2006/relationships/hyperlink" Target="https://www.egi.eu/services/research/" TargetMode="External"/><Relationship Id="rId16" Type="http://schemas.openxmlformats.org/officeDocument/2006/relationships/hyperlink" Target="https://credit.niso.org/" TargetMode="External"/><Relationship Id="rId11" Type="http://schemas.openxmlformats.org/officeDocument/2006/relationships/hyperlink" Target="https://localcontexts.org/" TargetMode="External"/><Relationship Id="rId24" Type="http://schemas.openxmlformats.org/officeDocument/2006/relationships/hyperlink" Target="https://bioportal.bioontology.org/" TargetMode="External"/><Relationship Id="rId32" Type="http://schemas.openxmlformats.org/officeDocument/2006/relationships/hyperlink" Target="https://hackolade.com/help/XSDXMLSchemaDefinition.html" TargetMode="External"/><Relationship Id="rId37" Type="http://schemas.openxmlformats.org/officeDocument/2006/relationships/hyperlink" Target="https://skosmos.org/" TargetMode="External"/><Relationship Id="rId40" Type="http://schemas.openxmlformats.org/officeDocument/2006/relationships/hyperlink" Target="https://fairsharing.org/5742" TargetMode="External"/><Relationship Id="rId45" Type="http://schemas.openxmlformats.org/officeDocument/2006/relationships/hyperlink" Target="https://datacite.org/" TargetMode="External"/><Relationship Id="rId53" Type="http://schemas.openxmlformats.org/officeDocument/2006/relationships/hyperlink" Target="https://www.w3.org/TR/prov-o/" TargetMode="External"/><Relationship Id="rId58" Type="http://schemas.openxmlformats.org/officeDocument/2006/relationships/hyperlink" Target="http://cyber.gov.au/business-government/secure-design/artificial-intelligence/careful-adoption-of-agentic-ai-services" TargetMode="External"/><Relationship Id="rId66" Type="http://schemas.openxmlformats.org/officeDocument/2006/relationships/hyperlink" Target="https://www.mdpi.com/" TargetMode="External"/><Relationship Id="rId74" Type="http://schemas.openxmlformats.org/officeDocument/2006/relationships/hyperlink" Target="https://www.rd-alliance.org/about/code-of-conduct/rda-guidance-on-ai-tools-usage/" TargetMode="External"/><Relationship Id="rId5" Type="http://schemas.openxmlformats.org/officeDocument/2006/relationships/hyperlink" Target="https://www.microsoft.com/" TargetMode="External"/><Relationship Id="rId61" Type="http://schemas.openxmlformats.org/officeDocument/2006/relationships/hyperlink" Target="https://learn.microsoft.com./en-gb/" TargetMode="External"/><Relationship Id="rId19" Type="http://schemas.openxmlformats.org/officeDocument/2006/relationships/hyperlink" Target="https://mcp.fairsharing.org/" TargetMode="External"/><Relationship Id="rId14" Type="http://schemas.openxmlformats.org/officeDocument/2006/relationships/hyperlink" Target="https://fairassist.org/" TargetMode="External"/><Relationship Id="rId22" Type="http://schemas.openxmlformats.org/officeDocument/2006/relationships/hyperlink" Target="https://www.ebi.ac.uk/ols/" TargetMode="External"/><Relationship Id="rId27" Type="http://schemas.openxmlformats.org/officeDocument/2006/relationships/hyperlink" Target="https://doi.org/10.15497/RDA00031" TargetMode="External"/><Relationship Id="rId30" Type="http://schemas.openxmlformats.org/officeDocument/2006/relationships/hyperlink" Target="https://frictionlessdata.io/" TargetMode="External"/><Relationship Id="rId35" Type="http://schemas.openxmlformats.org/officeDocument/2006/relationships/hyperlink" Target="https://doi.org/10.1007/978-3-319-68204-4_10" TargetMode="External"/><Relationship Id="rId43" Type="http://schemas.openxmlformats.org/officeDocument/2006/relationships/hyperlink" Target="https://fairdo.org/" TargetMode="External"/><Relationship Id="rId48" Type="http://schemas.openxmlformats.org/officeDocument/2006/relationships/hyperlink" Target="https://ds-wizard.org/" TargetMode="External"/><Relationship Id="rId56" Type="http://schemas.openxmlformats.org/officeDocument/2006/relationships/hyperlink" Target="https://orcid.org/" TargetMode="External"/><Relationship Id="rId64" Type="http://schemas.openxmlformats.org/officeDocument/2006/relationships/hyperlink" Target="https://link.springer.com/" TargetMode="External"/><Relationship Id="rId69" Type="http://schemas.openxmlformats.org/officeDocument/2006/relationships/hyperlink" Target="https://www.zoom.com/" TargetMode="External"/><Relationship Id="rId77" Type="http://schemas.openxmlformats.org/officeDocument/2006/relationships/hyperlink" Target="https://www.microsoft.com/" TargetMode="External"/><Relationship Id="rId8" Type="http://schemas.openxmlformats.org/officeDocument/2006/relationships/hyperlink" Target="https://www.rd-alliance.org/wp-content/uploads/2024/03/RDA-Private-Sector-Engagement-Framework-v1.0.pdf" TargetMode="External"/><Relationship Id="rId51" Type="http://schemas.openxmlformats.org/officeDocument/2006/relationships/hyperlink" Target="https://www.rd-alliance.org/groups/common-application-programming-interface-api-for-machine-actionable-data-management-plans-madmps/activity/" TargetMode="External"/><Relationship Id="rId72" Type="http://schemas.openxmlformats.org/officeDocument/2006/relationships/hyperlink" Target="https://miro.com/" TargetMode="External"/><Relationship Id="rId3" Type="http://schemas.openxmlformats.org/officeDocument/2006/relationships/hyperlink" Target="https://www.rd-alliance.org/value_rda/rda-and-artificial-intelligence/global-community-priorities-for-agentic-ai-development/" TargetMode="External"/><Relationship Id="rId12" Type="http://schemas.openxmlformats.org/officeDocument/2006/relationships/hyperlink" Target="https://www.coretrustseal.org/" TargetMode="External"/><Relationship Id="rId17" Type="http://schemas.openxmlformats.org/officeDocument/2006/relationships/hyperlink" Target="https://www.rfc-editor.org/info/bcp14" TargetMode="External"/><Relationship Id="rId25" Type="http://schemas.openxmlformats.org/officeDocument/2006/relationships/hyperlink" Target="https://agroportal.lirmm.fr/" TargetMode="External"/><Relationship Id="rId33" Type="http://schemas.openxmlformats.org/officeDocument/2006/relationships/hyperlink" Target="https://www.w3.org/TR/shacl/" TargetMode="External"/><Relationship Id="rId38" Type="http://schemas.openxmlformats.org/officeDocument/2006/relationships/hyperlink" Target="https://catalogue.fair-impact.eu/resources/foops" TargetMode="External"/><Relationship Id="rId46" Type="http://schemas.openxmlformats.org/officeDocument/2006/relationships/hyperlink" Target="https://fairsharing.org/search?fairsharingRegistry=Standard&amp;recordType=identifier_schema&amp;page=1" TargetMode="External"/><Relationship Id="rId59" Type="http://schemas.openxmlformats.org/officeDocument/2006/relationships/hyperlink" Target="https://miro.com/app/board/uXjVHXDM1Ig=/?share_link_id=139484060485" TargetMode="External"/><Relationship Id="rId67" Type="http://schemas.openxmlformats.org/officeDocument/2006/relationships/hyperlink" Target="https://www.w3.org/" TargetMode="External"/><Relationship Id="rId20" Type="http://schemas.openxmlformats.org/officeDocument/2006/relationships/hyperlink" Target="https://www.re3data.org/" TargetMode="External"/><Relationship Id="rId41" Type="http://schemas.openxmlformats.org/officeDocument/2006/relationships/hyperlink" Target="https://doi.org/10.1016/j.cels.2019.09.011" TargetMode="External"/><Relationship Id="rId54" Type="http://schemas.openxmlformats.org/officeDocument/2006/relationships/hyperlink" Target="http://doi.org/10.1109/eScience65000.2025.00093" TargetMode="External"/><Relationship Id="rId62" Type="http://schemas.openxmlformats.org/officeDocument/2006/relationships/hyperlink" Target="https://github.com/ResearchDataAlliance" TargetMode="External"/><Relationship Id="rId70" Type="http://schemas.openxmlformats.org/officeDocument/2006/relationships/hyperlink" Target="https://docs.google.com/" TargetMode="External"/><Relationship Id="rId75" Type="http://schemas.openxmlformats.org/officeDocument/2006/relationships/hyperlink" Target="https://www.rd-alliance.org/membership/individual-membership/" TargetMode="External"/><Relationship Id="rId1" Type="http://schemas.openxmlformats.org/officeDocument/2006/relationships/hyperlink" Target="https://www.rd-alliance.org/about/" TargetMode="External"/><Relationship Id="rId6" Type="http://schemas.openxmlformats.org/officeDocument/2006/relationships/hyperlink" Target="https://doi.org/10.1038/sdata.2016.18" TargetMode="External"/><Relationship Id="rId15" Type="http://schemas.openxmlformats.org/officeDocument/2006/relationships/hyperlink" Target="https://www.w3.org/TR/prov-o/" TargetMode="External"/><Relationship Id="rId23" Type="http://schemas.openxmlformats.org/officeDocument/2006/relationships/hyperlink" Target="https://terminology.services.base4nfdi.de/provider" TargetMode="External"/><Relationship Id="rId28" Type="http://schemas.openxmlformats.org/officeDocument/2006/relationships/hyperlink" Target="http://fair2.ai/spec" TargetMode="External"/><Relationship Id="rId36" Type="http://schemas.openxmlformats.org/officeDocument/2006/relationships/hyperlink" Target="https://ontoportal.org/" TargetMode="External"/><Relationship Id="rId49" Type="http://schemas.openxmlformats.org/officeDocument/2006/relationships/hyperlink" Target="https://argos.openaire.eu/home" TargetMode="External"/><Relationship Id="rId57" Type="http://schemas.openxmlformats.org/officeDocument/2006/relationships/hyperlink" Target="https://ror.org/" TargetMode="External"/><Relationship Id="rId10" Type="http://schemas.openxmlformats.org/officeDocument/2006/relationships/hyperlink" Target="https://doi.org/10.5334/dsj-2020-043" TargetMode="External"/><Relationship Id="rId31" Type="http://schemas.openxmlformats.org/officeDocument/2006/relationships/hyperlink" Target="https://json-schema.org/" TargetMode="External"/><Relationship Id="rId44" Type="http://schemas.openxmlformats.org/officeDocument/2006/relationships/hyperlink" Target="https://worldfair-project.eu/cross-domain-interoperability-framework/" TargetMode="External"/><Relationship Id="rId52" Type="http://schemas.openxmlformats.org/officeDocument/2006/relationships/hyperlink" Target="https://www.cometadata.org/" TargetMode="External"/><Relationship Id="rId60" Type="http://schemas.openxmlformats.org/officeDocument/2006/relationships/hyperlink" Target="https://www.go-fair.org/how-to-go-fair/fair-implementation-profile/" TargetMode="External"/><Relationship Id="rId65" Type="http://schemas.openxmlformats.org/officeDocument/2006/relationships/hyperlink" Target="https://www.elsevier.com/en-gb" TargetMode="External"/><Relationship Id="rId73" Type="http://schemas.openxmlformats.org/officeDocument/2006/relationships/hyperlink" Target="https://claude.ai/new" TargetMode="External"/><Relationship Id="rId4" Type="http://schemas.openxmlformats.org/officeDocument/2006/relationships/hyperlink" Target="https://www.rd-alliance.org/" TargetMode="External"/><Relationship Id="rId9" Type="http://schemas.openxmlformats.org/officeDocument/2006/relationships/hyperlink" Target="https://www.rd-alliance.org/recommendations-and-outputs/" TargetMode="External"/><Relationship Id="rId13" Type="http://schemas.openxmlformats.org/officeDocument/2006/relationships/hyperlink" Target="https://fairsharing.org/" TargetMode="External"/><Relationship Id="rId18" Type="http://schemas.openxmlformats.org/officeDocument/2006/relationships/hyperlink" Target="https://fairsharing.org/" TargetMode="External"/><Relationship Id="rId39" Type="http://schemas.openxmlformats.org/officeDocument/2006/relationships/hyperlink" Target="https://fairassist.org/" TargetMode="External"/><Relationship Id="rId34" Type="http://schemas.openxmlformats.org/officeDocument/2006/relationships/hyperlink" Target="https://huggingface.co/spaces/luisoala/croissant-checker" TargetMode="External"/><Relationship Id="rId50" Type="http://schemas.openxmlformats.org/officeDocument/2006/relationships/hyperlink" Target="https://damap.org/" TargetMode="External"/><Relationship Id="rId55" Type="http://schemas.openxmlformats.org/officeDocument/2006/relationships/hyperlink" Target="https://github.com/HPCI-Lab/yProv" TargetMode="External"/><Relationship Id="rId76" Type="http://schemas.openxmlformats.org/officeDocument/2006/relationships/hyperlink" Target="https://www.rd-alliance.org/membership/organisational-membership/" TargetMode="External"/><Relationship Id="rId7" Type="http://schemas.openxmlformats.org/officeDocument/2006/relationships/hyperlink" Target="https://www.rd-alliance.org/about/how-rda-works/" TargetMode="External"/><Relationship Id="rId71" Type="http://schemas.openxmlformats.org/officeDocument/2006/relationships/hyperlink" Target="https://www.drawio.com/" TargetMode="External"/><Relationship Id="rId2" Type="http://schemas.openxmlformats.org/officeDocument/2006/relationships/hyperlink" Target="https://www.rd-alliance.org/groups/data-director-agentic-ai-blueprint/activity/" TargetMode="External"/><Relationship Id="rId29" Type="http://schemas.openxmlformats.org/officeDocument/2006/relationships/hyperlink" Target="https://rocrate-validator.readthedocs.io/en/stabl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WKQUhgwkJWfl8glaLq9bJxg1ZQ==">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95</Pages>
  <Words>29814</Words>
  <Characters>186937</Characters>
  <Application>Microsoft Office Word</Application>
  <DocSecurity>0</DocSecurity>
  <Lines>6030</Lines>
  <Paragraphs>2408</Paragraphs>
  <ScaleCrop>false</ScaleCrop>
  <Company/>
  <LinksUpToDate>false</LinksUpToDate>
  <CharactersWithSpaces>214343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Connie Clare</cp:lastModifiedBy>
  <cp:revision>3</cp:revision>
  <cp:lastPrinted>2026-06-29T18:44:00Z</cp:lastPrinted>
  <dcterms:created xsi:type="dcterms:W3CDTF">2026-06-29T18:44:00Z</dcterms:created>
  <dcterms:modified xsi:type="dcterms:W3CDTF">2026-06-29T18:56:00Z</dcterms:modified>
</cp:coreProperties>
</file>